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248/2019 vom 29. Juli 2019</w:t>
      </w:r>
    </w:p>
    <w:p>
      <w:r>
        <w:t>Bundesgericht, 2019-07-29, FR</w:t>
      </w:r>
    </w:p>
    <w:p>
      <w:r>
        <w:rPr>
          <w:b/>
        </w:rPr>
        <w:t xml:space="preserve">Quelle: </w:t>
      </w:r>
      <w:r>
        <w:t>https://mcp.opencaselaw.ch/entscheid/bger_4A_248_2019</w:t>
      </w:r>
    </w:p>
    <w:p>
      <w:r>
        <w:t>FR: TF 4A 248/2019 du 29 juillet 2019</w:t>
      </w:r>
    </w:p>
    <w:p>
      <w:r>
        <w:t>IT: TF 4A 248/2019 del 29 luglio 2019</w:t>
      </w:r>
    </w:p>
    <w:p>
      <w:pPr>
        <w:pStyle w:val="Heading2"/>
      </w:pPr>
      <w:r>
        <w:t>Regeste</w:t>
      </w:r>
    </w:p>
    <w:p>
      <w:r>
        <w:t>arbitrage international en matière de sport; mesures provisionnelles/effet suspensif | Juridiction arbitrale</w:t>
      </w:r>
    </w:p>
    <w:p>
      <w:pPr>
        <w:pStyle w:val="Heading2"/>
      </w:pPr>
      <w:r>
        <w:t>Erwägungen</w:t>
      </w:r>
    </w:p>
    <w:p>
      <w:r>
        <w:rPr>
          <w:b/>
        </w:rPr>
        <w:t>E. 1</w:t>
      </w:r>
    </w:p>
    <w:p>
      <w:r>
        <w:t>En règle générale, le recours en matière civile n'a pas d'effet suspensif ( art. 103 al. 1 LTF ). Le juge instructeur peut toutefois, d'office ou sur requête d'une partie, statuer différemment sur l'effet suspensif ( art. 103 al. 3 LTF ). Aux termes de l' art. 104 LTF , le juge instructeur peut, d'office ou sur requête d'une partie, ordonner les mesures provisionnelles nécessaires au maintien de l'état de fait ou à la sauvegarde d'intérêts menacés. Pour rendre une décision sur l'effet suspensif ou l'octroi de mesures provisionnelles, le juge instructeur doit procéder à une pesée des intérêts en présence et se demander, en particulier, si la décision attaquée est de nature à entraîner un préjudice irréparable pour la recourante. Il lui faut également supputer les chances de succès du recours. La pratique du Tribunal fédéral est stricte s'agissant des exigences auxquelles est soumis l'octroi de l'effet suspensif, respectivement l'octroi de mesures provisionnelles, en matière d'arbitrage international. De ce fait, l'effet suspensif n'est accordé, respectivement les mesures provisionnelles ne sont ordonnées, en règle générale, que s'il ressort d'un premier examen sommaire du dossier que le recours apparaît très vraisemblablement fondé (ordonnance présidentielle du 27 septembre 2018 dans la cause 4A_318/2018; ordonnance présidentielle du 7 novembre 2016 dans la cause 4A_624/2016).</w:t>
      </w:r>
    </w:p>
    <w:p>
      <w:r>
        <w:rPr>
          <w:b/>
        </w:rPr>
        <w:t>E. 2</w:t>
      </w:r>
    </w:p>
    <w:p>
      <w:r>
        <w:t>Dans son mémoire de recours, la recourante se plaint exclusivement d'une violation de l'ordre public matériel ( art. 190 al. 2 let . e LDIP). Une sentence est incompatible avec l'ordre public si elle méconnaît les valeurs essentielles et largement reconnues qui, selon les conceptions prévalant en Suisse, devraient constituer le fondement de tout ordre juridique ( ATF 144 III 120 consid. 5.1; ATF 132 III 389 consid. 2.2.3). Une sentence est contraire à l'ordre public matériel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L'annulation d'une sentence arbitrale internationale pour ce motif de recours est chose rarissime ( ATF 132 III 389 consid. 2.1). Il sied de rappeler que le Tribunal fédéral ne saurait être assimilé à cour d'appel qui chapeauterait le TAS et vérifierait librement le bien-fondé des sentences en matière d'arbitrage international rendues par cet organe juridictionnel - véritable tribunal arbitral indépendant et impartial (arrêt de la CourEDH, Mutu et Pechstein c. Suisse du 2 octobre 2018) - spécialisé dans le règlement des différends relevant du sport et jouissant d'un plein pouvoir d'examen. Tel n'est pas le rôle de l'autorité judiciaire suprême du pays lorsqu'elle est saisie d'un recours au sens de l' art. 77 al. 1 LTF dans lequel est invoquée l'incompatibilité de la sentence attaquée avec l'ordre public, comme cela ressort de la définition de cette notion (arrêts 4A_116/2016 du 13 décembre 2016 consid. 4.2.3; 4A_604/2010 du 11 avril 2011 consid. 3.2.1; 4A_458/2009 du 10 juin 2010 consid. 4.4.2). S'il les particularités de l'arbitrage sportif ont certes été prises en considération par la jurisprudence fédérale dans le traitement de certaines questions de procédure spécifiques, telle la renonciation à recourir ( ATF 133 III 235 consid. 4.3.2.2 p. 244), il ne s'ensuit pas pour autant qu'il faille en faire de même à l'égard du moyen de caractère général tiré de l'incompatibilité de la sentence avec l'ordre public matériel, sauf à créer une véritable lex sportiva par la voie prétorienne, ce qui pourrait soulever des problèmes du point de vue de la répartition des compétences entre le pouvoir législatif et le pouvoir judiciaire de la Confédération, puisque le législateur n'a pas adopté de règles spécifiques en matière d'arbitrage sportif (arrêts 4A_312/2017 du 27 novembre 2017 consid. 3.3.2; 4A_116/2016 du 13 décembre 2016 consid. 4.2.3; 4A_488/2011 du 18 juin 2012 consid. 6.2).</w:t>
      </w:r>
    </w:p>
    <w:p>
      <w:r>
        <w:rPr>
          <w:b/>
        </w:rPr>
        <w:t>E. 3</w:t>
      </w:r>
    </w:p>
    <w:p>
      <w:r>
        <w:t>A la lumière de ces règles et principes, dans le cadre du pouvoir d'examen dont jouit le Tribunal fédéral dans un recours en matière d'arbitrage international, l'on ne peut affirmer, prima facie , en lisant le mémoire de recours, la sentence attaquée - et en particulier les constatations, fondées sur les avis des experts, qui lient la Cour de céans (cf. supra lettre B.b.d) - ainsi que les déterminations de l'intimée que les conclusions de la recourante devront être très vraisemblablement admises.</w:t>
      </w:r>
    </w:p>
    <w:p>
      <w:r>
        <w:rPr>
          <w:b/>
        </w:rPr>
        <w:t>E. 3.1</w:t>
      </w:r>
    </w:p>
    <w:p>
      <w:r>
        <w:t>La recourante dénonce en premier lieu une violation du principe de l'interdiction de la discrimination. La différenciation prétendument inadmissible repose en l'occurrence sur un règlement édicté par une association de droit privé. Or, il est douteux que la prohibition des mesures discriminatoires entre dans le champ d'application de la notion restrictive d'ordre public lorsque la discrimination est le fait d'une personne privée et survient dans des relations entre particuliers. A supposer que tel soit le cas, le grief n'apparaît pas de toute manière, à première vue, très vraisemblablement fondé, dès lors que le TAS a considéré, au terme d'un examen approfondi, que les règles d'éligibilité instaurées par le Règlement DDS créaient certes une différenciation fondée sur le sexe légal et les caractéristiques biologiques innées mais constituaient une mesure nécessaire, raisonnable et proportionnée en vue de garantir l'intégrité de l'athlétisme féminin et la défense de la " classe protégée " et d'assurer une compétition équitable.</w:t>
      </w:r>
    </w:p>
    <w:p>
      <w:r>
        <w:rPr>
          <w:b/>
        </w:rPr>
        <w:t>E. 3.2</w:t>
      </w:r>
    </w:p>
    <w:p>
      <w:r>
        <w:t>En second lieu, la recourante se plaint d'une violation de ses droits de la personnalité et de sa dignité humaine, invoquant notamment dans ce cadre-là diverses garanties conventionnelles. Il sied de rappeler que, dans plusieurs arrêts, le Tribunal fédéral a considéré que la Convention européenne des droits de l'homme ne s'applique pas directement à l'arbitrage. En effet, la violation des dispositions de cette convention ne compte pas au nombre des griefs limitativement énumérés par l' art. 190 al. 2 LDIP (arrêts 4A_178/2014 du 11 juin 2014 consid. 2.4; 4A_370/2007 du 21 février 2008 consid. 5.3.2). A la lecture des écritures de la recourante, on peine à discerner en quoi les critiques émises par l'intéressée à l'encontre de la sentence suffiraient à démontrer le caractère très vraisemblablement fondé d'une contrariété à l'ordre public découlant d'une atteinte aux droits de la personnalité ou à la dignité humaine. Pour le surplus, il n'apparaît pas de façon évidente que la situation de la recourante soit comparable à celle du footballeur brésilien Matuzalem , lequel s'était vu infliger la menace d'une suspension illimitée de toute activité footballistique pour le cas où il ne paierait pas une indemnité supérieure à 11 millions d'euros, intérêts en sus, à son ancien club à bref délai ( ATF 138 III 322 ).</w:t>
      </w:r>
    </w:p>
    <w:p>
      <w:r>
        <w:rPr>
          <w:b/>
        </w:rPr>
        <w:t>E. 4</w:t>
      </w:r>
    </w:p>
    <w:p>
      <w:r>
        <w:t>La condition du caractère très vraisemblablement fondé du recours n'étant pas réalisée, point n'est besoin d'examiner si la sentence est susceptible de causer un préjudice irréparable à la recourante. Sur le vu de ce qui précède, la requête d'effet suspensif et de mesures provisionnelles est rejetée. Par identité de motifs, la requête de la partie intéressée tendant à la suspension du Règlement DDS à l'égard de toutes les athlètes concernées est également rejetée dans la mesure de sa recevabilité. L'ordonnance présidentielle du 31 mai 2019 imposant à l'intimée, à titre superprovisionnel, de suspendre la mise en oeuvre du Règlement DDS à l'égard de la recourante est rapportée.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