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4A_248/2017 vom 22. Februar 2018</w:t>
      </w:r>
    </w:p>
    <w:p>
      <w:r>
        <w:t>Bundesgericht, 2018-02-22, FR</w:t>
      </w:r>
    </w:p>
    <w:p>
      <w:r>
        <w:rPr>
          <w:b/>
        </w:rPr>
        <w:t xml:space="preserve">Quelle: </w:t>
      </w:r>
      <w:r>
        <w:t>https://mcp.opencaselaw.ch/entscheid/bger_4A_248_2017</w:t>
      </w:r>
    </w:p>
    <w:p>
      <w:r>
        <w:t>FR: TF 4A_248/2017 du 22 février 2018</w:t>
      </w:r>
    </w:p>
    <w:p>
      <w:r>
        <w:t>IT: TF 4A_248/2017 del 22 febbraio 2018</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Il s'agit d'une affaire pécuniaire, car la requête en consultation de documents sociaux poursuit en définitive et principalement un but économique (cf. arrêt 4A_646/2014 du 14 avril 2015 consid. 1.1 et les arrêts cités). La décision attaquée mentionne une valeur litigieuse atteignant en tout cas 30'000 fr. ( art. 74 al. 1 let. b et art. 112 al. 1 let . d LTF), ce qui n'est pas contesté par l'intimé. Déposé en temps utile ( art. 46 al. 1 let. a et art. 100 al. 1 LTF ) et dans la forme prévue par la loi ( art. 42 LTF ), le recours est exercé par la partie qui a succombé dans ses conclusions et qui a donc qualité pour recourir ( art. 76 al. 1 LTF ). Il est en principe recevable, sous réserve de l'examen des griefs particuliers.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2.2</w:t>
      </w:r>
    </w:p>
    <w:p>
      <w:r>
        <w:t>Sous la rubrique "En fait" de son mémoire, la recourante alterne les passages en romain et en italique. Dans les premiers, elle présente sa propre version des faits avec référence aux preuves correspondantes, comme dans une écriture adressée au juge de première instance. Dans les seconds, elle procède essentiellement par allégation, reprochant aux juges précédents de n'avoir pas "correctement retenu ces faits" qu'elle considère comme "pertinents". Un tel exposé, consistant en une critique appellatoire de l'arrêt attaqué, ne satisfait pas aux exigences de l' art. 106 al. 2 LTF . Il n'en sera dès lors pas tenu compte.</w:t>
      </w:r>
    </w:p>
    <w:p>
      <w:r>
        <w:rPr>
          <w:b/>
        </w:rPr>
        <w:t>E. 2.3</w:t>
      </w:r>
    </w:p>
    <w:p>
      <w:r>
        <w:t>Invoquant les art. 9 et 29 al. 2 Cst. , la recourante fait valoir ensuite que "son raisonnement et ses allégations de fait s'appuyaient sur des moyens de preuve dûment produits dans la procédure" et que les juges genevois auraient "fait complètement l'impasse sur ces faits pertinents sans aucune raison sérieuse", appréciant ainsi les preuves de manière arbitraire et violant son droit d'être entendue.</w:t>
      </w:r>
    </w:p>
    <w:p>
      <w:r>
        <w:t>En réalité, les "faits" en cause portent sur la thèse de la recourante selon laquelle l'intimé n'était plus valablement actionnaire depuis l'exercice formel du droit de rachat le 13 décembre 2012, qu'il s'opposait sans droit au transfert des actions depuis cette date et que, de toute manière, ses diverses déclarations écrites constituaient une déclaration de cession au sens de l' art. 165 al. 1 CO . Il s'agit là de questions de droit, à propos desquelles le moyen tiré d'un établissement arbitraire des faits tombe à faux. Par ailleurs, contrairement à ce que la recourante sous-entend, l'obligation de motivation incombant au juge ne saurait manifestement consister en l'adhésion à tous les arguments du titulaire du droit d'être entendu.</w:t>
      </w:r>
    </w:p>
    <w:p>
      <w:r>
        <w:rPr>
          <w:b/>
        </w:rPr>
        <w:t>E. 3</w:t>
      </w:r>
    </w:p>
    <w:p>
      <w:r>
        <w:t>La requête de l'intimé est fondée sur l' art. 696 al. 3 CO , aux termes duquel tout actionnaire peut, dans l'année qui suit l'assemblée générale de la société anonyme, se faire délivrer par celle-ci le rapport de gestion dans la forme approuvée par l'assemblée générale ainsi que le rapport de révision.</w:t>
      </w:r>
    </w:p>
    <w:p>
      <w:r>
        <w:t>La question litigieuse est de savoir si l'intimé était actionnaire de la recourante au moment du dépôt de la requête en consultation en juin 2015. La cour cantonale a admis que tel était le cas. Comme dans son arrêt confirmé par le Tribunal fédéral dans la cause 4A_646/2014, elle a jugé qu'il n'y avait pas eu transfert du sociétariat à B.X.________ SA, dès lors que le titre d'acquisition des 340 actions - soit la déclaration d'exercice du droit de rachat prévu dans le contrat de travail - n'était accompagné d'aucune déclaration de cession écrite de la part de l'intimé. Au surplus, la cour cantonale a jugé irrecevable, pour défaut de motivation, le grief de l'abus de droit soulevé par la recourante; au demeurant, le moyen était mal fondé, car ni l'exercice valable du droit de rachat, ni l'opposition indue au transfert des actions n'étaient établis.</w:t>
      </w:r>
    </w:p>
    <w:p>
      <w:r>
        <w:rPr>
          <w:b/>
        </w:rPr>
        <w:t>E. 3.1</w:t>
      </w:r>
    </w:p>
    <w:p>
      <w:r>
        <w:t>La recourante se plaint d'une violation de l' art. 165 al. 1 CO . A son sens, une cession des actions litigieuses résulte des articles 5.3 et 5.5 du contrat de travail ainsi que de plusieurs déclarations de l'intimé, dont il résulterait sa volonté de transférer les actions.</w:t>
      </w:r>
    </w:p>
    <w:p>
      <w:r>
        <w:t>Le transfert des actions litigieuses, non incorporées dans un papier-valeur, nécessite, en sus d'un titre d'acquisition, un acte de disposition consistant en une déclaration de cession écrite de la part de l'intimé ( art. 165 al. 1 CO ; arrêt précité du 14 avril 2015 consid. 3.2 et les références). En l'espèce, l'acte générateur d'obligations est une vente, les articles 5.3 à 5.5 du contrat du 1er octobre 2007 instituant une option d'achat en faveur de la recourante pour le cas où les rapports de travail prendraient fin (cf. ATF 132 III 18 consid. 4.3 p. 22; 121 III 210 consid. 3c p. 212). Comme cette dernière condition était réalisée, la recourante pouvait exercer son droit d'emption, ce qu'elle a fait pour le compte de B.X.________ SA avec l'accord de l'intimé. A ce stade, il n'est pas contesté que le prix de vente des actions est à déterminer selon la formule prévue à l'article 5.5 du contrat. L'obligation de l'acheteuse est ainsi de payer le prix convenu, alors que l'obligation du vendeur est de céder les actions.</w:t>
      </w:r>
    </w:p>
    <w:p>
      <w:r>
        <w:t>L'exécution de l'obligation de l'intimé suppose une déclaration de cession; la forme écrite exigée pour cet acte doit recouvrir les points essentiels de la cession, dont la volonté de l'intimé de céder les actions (cf. ATF 122 III 361 consid. 4c p. 367; 105 II 83 consid. 2 p. 84).</w:t>
      </w:r>
    </w:p>
    <w:p>
      <w:r>
        <w:t>Contrairement à ce que la recourante prétend, aucune déclaration de la sorte ne résulte des écrits qu'elle invoque. Le contrat de travail institue le droit de rachat, mais ne constitue pas l'acte de disposition lui-même. Quant aux diverses déclarations de l'intimé, elles expriment toutes la même volonté: l'intéressé reconnaît que son obligation de transférer les actions a pris naissance à la suite de l'exercice du droit d'option, mais refuse précisément de l'exécuter, par une cession, tant que l'acheteur n'aura pas payé ou offert de payer le prix fixé conformément à la formule de l'article 5.5 du contrat de travail. En d'autres termes, le vendeur soulève l'exception d'inexécution ( art. 82 CO ) pour ne pas s'exécuter, ce qui en toute logique exclut la cession des actions.</w:t>
      </w:r>
    </w:p>
    <w:p>
      <w:r>
        <w:t>Pour autant que recevable, le moyen tiré de la violation de l' art. 165 al. 1 CO est mal fondé.</w:t>
      </w:r>
    </w:p>
    <w:p>
      <w:r>
        <w:rPr>
          <w:b/>
        </w:rPr>
        <w:t>E. 3.2</w:t>
      </w:r>
    </w:p>
    <w:p>
      <w:r>
        <w:t>La recourante invoque ensuite l' art. 2 al. 2 CC . L'intimé commettrait un abus de droit en refusant de transférer les actions à B.X.________ SA au seul motif que le prix versé ne correspondrait pas à la formule de fixation contractuelle et, partant, en maintenant indûment sa qualité d'actionnaire de la recourante et son droit à l'obtention des rapports de gestion et de révision pour l'exercice 2014. Otage du différend de l'intimé avec B.X.________ SA, faisant l'objet d'une autre procédure, la recourante serait tenue de fournir les rapports de gestion et de révision pour l'exercice 2014, ce qui serait de nature à porter atteinte de manière irréparable au secret de ses affaires sans que l'intimé ne dispose d'aucun intérêt à obtenir ces documents.</w:t>
      </w:r>
    </w:p>
    <w:p>
      <w:r>
        <w:t>L'abus manifeste de droit ( art. 2 al. 2 CC )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140 III 583 consid. 3.2.4 p. 589 et les arrêts cités).</w:t>
      </w:r>
    </w:p>
    <w:p>
      <w:r>
        <w:t>Selon le contrat de travail liant les parties elles-mêmes, le prix de vente des actions n'était pas déterminé mais seulement déterminable. En pareil cas, il peut y avoir contestation sur la prise en compte des paramètres et la manière de calculer le prix; en l'espèce, le montant versé par l'acheteuse est du reste 100 fois inférieur au prix prétendu par le vendeur. Que, dans ces circonstances, ce dernier soulève l'exception d'inexécution et refuse de céder les actions à B.X.________ SA n'a rien d'abusif. La thèse selon laquelle l'intimé s'oppose indûment au transfert des actions litigieuses est mal fondée. Cela étant, l'intimé était actionnaire de la recourante au moment où il a fait valoir le droit à l'information découlant de l' art. 696 al. 3 CO et pouvait dès lors prétendre à la communication du rapport de gestion et du rapport de révision pour l'exercice 2014 sans avoir à démontrer un intérêt particulier (arrêt précité du 14 avril 2015 consid. 3.2</w:t>
      </w:r>
    </w:p>
    <w:p>
      <w:r>
        <w:t>in fine ) et sans que la question d'une éventuelle atteinte au secret des affaires ne se posât. Quel que soit l'exercice comptable en cause, on ne saurait voir dans la démarche de l'intimé un abus de droit, lequel, rappelons-le, est admis restrictivement.</w:t>
      </w:r>
    </w:p>
    <w:p>
      <w:r>
        <w:t>Il s'ensuit que le moyen fondé sur l' art. 2 al. 2 CC sera écarté.</w:t>
      </w:r>
    </w:p>
    <w:p>
      <w:r>
        <w:rPr>
          <w:b/>
        </w:rPr>
        <w:t>E. 4</w:t>
      </w:r>
    </w:p>
    <w:p>
      <w:r>
        <w:t>Sur le vu de ce qui précède, le recours doit être rejeté dans la mesure où il est recevable. La requête d'effet suspensif devient sans objet.</w:t>
      </w:r>
    </w:p>
    <w:p>
      <w:r>
        <w:t>La recourante, qui succombe,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