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4A_248/2014 vom 27. Juni 2014</w:t>
      </w:r>
    </w:p>
    <w:p>
      <w:r>
        <w:t>Bundesgericht, 2014-06-27, FR</w:t>
      </w:r>
    </w:p>
    <w:p>
      <w:r>
        <w:rPr>
          <w:b/>
        </w:rPr>
        <w:t xml:space="preserve">Quelle: </w:t>
      </w:r>
      <w:r>
        <w:t>https://mcp.opencaselaw.ch/entscheid/bger_4A_248_2014</w:t>
      </w:r>
    </w:p>
    <w:p>
      <w:r>
        <w:t>FR: TF 4A_248/2014 du 27 juin 2014</w:t>
      </w:r>
    </w:p>
    <w:p>
      <w:r>
        <w:t>IT: TF 4A_248/2014 del 27 giugno 2014</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Le recours au Tribunal fédéral porte sur le refus d'ordonner une seconde expertise dans le cadre de la procédure de preuve à futur en cours, ordonnée en vertu de l'art. 158 al. 1 let. b, 2e cas, CPC.</w:t>
      </w:r>
    </w:p>
    <w:p>
      <w:r>
        <w:t>La cour cantonale a considéré que le refus d'une seconde expertise ne peut pas être assimilé à un refus - total ou partiel - d'expertise hors procès, qui peut faire l'objet d'un appel. Il ne s'agit que d'une décision en matière de preuve au sens de l' art. 319 let. b ch. 2 CPC , qui ne peut être attaquée immédiatement que si elle est susceptible de causer un préjudice qui doit être, selon elle, irréparable. Or, il n'y a pas de risque de perte de la preuve et le requérant pourra faire valoir tous ses moyens dans le cadre de la procédure au fond qu'il pourra introduire. Quant à l'argument du requérant selon lequel il pourrait déposer une nouvelle requête d'expertise hors procès, la cour a considéré que cette procédure n'est qu'envisageable, qu'elle ne saurait justifier d'entrer en matière sur un recours qui est irrecevable et qu'au demeurant, il est douteux que le requérant puisse justifier d'un intérêt digne de protection à une telle nouvelle requête.</w:t>
      </w:r>
    </w:p>
    <w:p>
      <w:r>
        <w:rPr>
          <w:b/>
        </w:rPr>
        <w:t>E. 1.2.1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1.2.2</w:t>
      </w:r>
    </w:p>
    <w:p>
      <w:r>
        <w:t>La décision qui refuse d'ordonner une preuve à futur fondée sur l' art. 158 al. 1 let. b CPC "hors procès ", c'est-à-dire dans une procédure indépendante, constitue une décision finale au sens de l' art. 90 LTF , car elle met fin à cette procédure ( ATF 138 III 46 consid. 1.1).</w:t>
      </w:r>
    </w:p>
    <w:p>
      <w:r>
        <w:rPr>
          <w:b/>
        </w:rPr>
        <w:t>E. 1.2.3</w:t>
      </w:r>
    </w:p>
    <w:p>
      <w:r>
        <w:t>En revanche, la décision qui ordonne l'administration de cette preuve à futur est une décision incidente au sens de l' art. 93 al. 1 let. a LTF - les conditions de l' art. 93 al. 1 let. b LTF n'entrant pas en considération -, car elle ne termine pas la procédure: celle-ci se poursuit par l'administration de la preuve, par d'éventuelles questions complémentaires des parties à l'intention de l'expert, ou encore, en cas de renonciation ou de récusation de l'expert, par la nécessité de nommer un autre expert ( ATF 138 III 46 consid. 1.1).</w:t>
      </w:r>
    </w:p>
    <w:p>
      <w:r>
        <w:t>Pour qu'un recours immédiat soit ouvert, il faut donc que la décision rendue soit susceptible de causer un préjudice irréparable, soit un préjudice de nature juridique, qui ne puisse pas être ultérieurement réparé ou entièrement réparé par une décision finale favorable au recourant; un dommage économique ou de pur fait n'est pas considéré comme un dommage irréparable de ce point de vue ( ATF 138 III 333 consid. 1.3.1; 134 III 188 consid. 2.1 p. 190 et consid. 2.2 p. 191). Cette condition s'apprécie par rapport à la décision de première instance, et non par rapport à la décision d'irrecevabilité du recours rendue par le tribunal supérieur; si la question qui a fait l'objet de la décision incidente de première instance peut être soulevée à l'appui d'un recours contre la décision finale, il n'y a pas de préjudice irréparable (arrêts 5D_72/2009 du 9 juillet 2009 consid. 1.1; 5A_435/2010 du 28 juillet 2010 consid. 1.1.1).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(arrêt 5A_435/2010 précité consid. 1.1.1; pour des exceptions, cf. notamment les arrêts 5A_603/2009 du 26 octobre 2009 consid. 3.1; 4A_195/2010 du 8 juin 2010 consid. 1.1.1; 4A_64/2011 du 1er septembre 2011 consid. 3; 5A_315/2012 du 28 août 2012 consid. 1.2.1).</w:t>
      </w:r>
    </w:p>
    <w:p>
      <w:r>
        <w:t>En matière de preuve à futur hors procès, le Tribunal fédéral a jugé que la décision ordonnant l'administration d'une preuve consistant dans l'examen d'une moquette posée par le défendeur n'est manifestement pas susceptible de provoquer un préjudice irréparable ( ATF 138 III 46 consid. 1.2). De même, la décision rendue en cours de procédure de preuve à futur et refusant la révocation de l'expert ne cause pas de dommage irréparable, puisqu'elle pourra parfaitement être critiquée pour cause d'incompétence de celui-ci dans la procédure au fond qui suivra (arrêt 5A_435/2010 précité consid. 1.1.2).</w:t>
      </w:r>
    </w:p>
    <w:p>
      <w:r>
        <w:rPr>
          <w:b/>
        </w:rPr>
        <w:t>E. 1.3</w:t>
      </w:r>
    </w:p>
    <w:p>
      <w:r>
        <w:t>En l'espèce, se pose la question de savoir si le refus d'ordonner une seconde expertise, sur demande du requérant, dans le cadre de la procédure de preuve à futur indépendante en cours et fondée sur l'art. 158 al. 1 let. b, 2e cas, CPC, est de nature à causer un préjudice irréparable au sens de l' art. 93 al. 1 let. a LTF .</w:t>
      </w:r>
    </w:p>
    <w:p>
      <w:r>
        <w:t>Ce préjudice doit s'apprécier, comme on l'a vu, par rapport à la décision de refus du premier juge, et non par rapport à la décision d'irrecevabilité de la cour cantonale. Or, comme la cour cantonale l'a justement retenu, le requérant pourra en requérir l'administration dans le procès futur sur le fond qu'il a la possibilité d'introduire. Il n'y a donc pas de préjudice irréparable au sens de l' art. 93 al. 1 let. a LTF . D'ailleurs, comme la jurisprudence a déjà eu l'occasion de le préciser, le requérant n'a pas d'intérêt digne de protection à obtenir l'administration d'une expertise à titre de preuve à futur pour clarifier les chances de succès d'un éventuel procès futur (art. 158 al. 1 let. b, 2e cas, CPC) lorsqu'une expertise apte à prouver les faits existe déjà ( ATF 140 III 24 consid. 3.3.1.3; Hurni, Vorsorgliche Beweisführung zwecks Abklärung der Prozessaussichten, in ZBJV 150/2014 p. 85 ss, spéc. p. 88).</w:t>
      </w:r>
    </w:p>
    <w:p>
      <w:r>
        <w:t>Faute de préjudice irréparable, le Tribunal fédéral,</w:t>
      </w:r>
    </w:p>
    <w:p>
      <w:r>
        <w:t>a maiore minus , ne contrôle pas si un recours immédiat au niveau cantonal était ouvert en raison d'un dommage difficilement réparable ( art. 319 let. b ch. 2 CPC ). En tant que le recourant soutient que la cour cantonale aurait dû examiner la question soulevée dans une procédure d'appel, et non de recours, et donc renoncer à exiger que soit démontré un préjudice " irréparable ", il méconnaît la nature de la décision rendue sur requête de seconde expertise à futur, qui est, tant au regard de la LTF que du CPC, une décision en matière de preuve. En effet, contrairement aux décisions de refus de la preuve à futur, qui sont des décisions finales susceptibles d'appel si la valeur litigieuse de 10'000 fr. est atteinte ( art. 308 ss CPC ), toutes les décisions rendues au cours de la procédure autonome de preuve à futur sont des décisions en matière de preuves, de nature incidente, au sens de l' art. 319 let. b ch. 2 CPC (dans ce sens Brönnimann, Die vorsorgliche Beweisführung nach Art. 158 ZPO, insbesondere zur Klärung der Prozessaussichten, in Beweisrecht der neuen ZPO, Berne 2012, p. 1 ss, spéc. p. 8; Fellmann, in Kommentar zur Schweizerischen Zivilprozessordnung, 2e éd. 2013, n° 44a ad art. 158 CPC ; contra: Tappy, Les voies de droit du nouveau Code de procédure civile, in JdT 2010 III p. 115 ss, p. 121s; Hoffmann-Nowotny, in ZPO-Rechtsmittel, Berufung und Beschwerde: Kommentar zu den Art. 308-327a ZPO, 2013, n° 29 ad art. 308 CPC ).</w:t>
      </w:r>
    </w:p>
    <w:p>
      <w:r>
        <w:rPr>
          <w:b/>
        </w:rPr>
        <w:t>E. 2</w:t>
      </w:r>
    </w:p>
    <w:p>
      <w:r>
        <w:t>Il s'ensuit que le recours doit être déclaré irrecevable, aux frais de son auteur ( art. 66 al. 1 LTF ). Des réponses n'ayant pas été requises,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