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4A_247/2025 vom 9. September 2025</w:t>
      </w:r>
    </w:p>
    <w:p>
      <w:r>
        <w:t>Bundesgericht, 2025-09-09, DE</w:t>
      </w:r>
    </w:p>
    <w:p>
      <w:r>
        <w:rPr>
          <w:b/>
        </w:rPr>
        <w:t xml:space="preserve">Quelle: </w:t>
      </w:r>
      <w:r>
        <w:t>https://mcp.opencaselaw.ch/entscheid/bger_4A_247_2025</w:t>
      </w:r>
    </w:p>
    <w:p>
      <w:r>
        <w:t>FR: TF 4A_247/2025 du 9 septembre 2025</w:t>
      </w:r>
    </w:p>
    <w:p>
      <w:r>
        <w:t>IT: TF 4A_247/2025 del 9 settembre 2025</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Angefochten ist ein Zuständigkeitsentscheid eines Schiedsgerichts über eine Streitigkeit zwischen Parteien, die im Zeitpunkt der Unterzeichnung der Schiedsvereinbarung ihren 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nationale Schiedsgerichtsbarkeit gemäss dem 3. Teil der Schweizerischen Zivilprozessordnung ( Art. 353 ff. ZPO ). Von der durch Art. 390 Abs. 1 ZPO eingeräumten Möglichkeit, als Rechtsmittelinstanz das zuständige kantonale Gericht zu bezeichnen, wurde kein Gebrauch gemacht.</w:t>
      </w:r>
    </w:p>
    <w:p>
      <w:r>
        <w:t>Zwischenschiedssprüche können nach Art. 392 lit. b ZPO einzig wegen vorschriftswidriger Ernennung oder Zusammensetzung des Schiedsgerichts ( Art. 393 lit. a ZPO ) oder wegen Verletzung von Zuständigkeitsvorschriften ( Art. 393 lit. b ZPO ) angefochten werden ( BGE 148 III 442 E. 2.1.1 mit Hinweisen). Im Rahmen einer solchen Beschwerde können die weiteren Rügen nach Art. 393 lit. c-e ZPO nur erhoben werden, sofern sie mit der Bestellung bzw. der Zuständigkeit des Schiedsgerichts zusammenhängen. Solche Rügen sind jedoch strikte auf Punkte zu beschränken, die unmittelbar die Bestellung oder die Zuständigkeit des Schiedsgerichts betreffen; ansonsten sind sie unzulässig und es ist nicht darauf einzutreten (Urteile 4A_516/2024 vom 17. Februar 2025 E. 1.2.1; 4A_112/2021 vom 9. September 2021 E. 1.3; 4A_593/2020 vom 23. Juni 2021 E. 1; vgl. auch BGE 143 III 462 E. 2.2; 140 III 477 E. 3.1, 520 E. 2.2.3).</w:t>
      </w:r>
    </w:p>
    <w:p>
      <w:r>
        <w:t>Der ergangene Zuständigkeitsentscheid unterliegt der Beschwerde an das Bundesgericht ( Art. 389 Abs. 1 ZPO und Art. 77 Abs. 1 lit. b BGG ).</w:t>
      </w:r>
    </w:p>
    <w:p>
      <w:r>
        <w:rPr>
          <w:b/>
        </w:rPr>
        <w:t>E. 1.2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Eine weitere Ausnahme ist im Gesetz für den Fall vorgesehen, dass der Schiedsspruch wegen offensichtlich überhöhter Entschädigungen und Auslagen angefochten wird ( Art. 395 Abs. 4 ZPO ). Es ist auch nicht ausgeschlossen, dass das Bundesgericht die Sache an das Schiedsgericht zurückweist (Urteile 4A_516/2024 vom 17. Februar 2025 E. 1.3; 4A_172/2023 vom 11. Januar 2024 E. 2.2; 4A_180/2023 vom 24. Juli 2023 E. 2.2).</w:t>
      </w:r>
    </w:p>
    <w:p>
      <w:r>
        <w:t>Die Anträge der Beschwerdeführerin sind somit zulässig.</w:t>
      </w:r>
    </w:p>
    <w:p>
      <w:r>
        <w:rPr>
          <w:b/>
        </w:rPr>
        <w:t>E. 2.1</w:t>
      </w:r>
    </w:p>
    <w:p>
      <w:r>
        <w:t>Das Bundesgericht prüft nur die Beschwerdegründe, die in der Beschwerde vorgebracht und begründet werden. Art. 77 Abs. 3 BGG sieht das Rügeprinzip und damit eine Art. 106 Abs. 2 BGG entsprechende Obliegenheit vor. Diese Anforderung entspricht der nach Art. 106 Abs. 2 BGG für die Verletzung von Grundrechten vorgesehenen qualifizierten Rügeobliegenheit ( BGE 150 III 280 E. 4.1; 134 III 186 E. 5). Die beschwerdeführende Partei muss die Beschwerdegründe, die nach ihrem Dafürhalten erfüllt sind, benennen und im Einzelnen aufzeigen, warum sie gegeben sind, wobei die Kritik an den als rechtsfehlerhaft erachteten Erwägungen des Schiedsgerichts anzusetzen hat ( BGE 150 III 280 E. 4.1; Urteile 4A_605/2024 vom 22. April 2025 E. 1.3; 4A_43/2024 vom 14. Mai 2024 E. 1.3; 4A_628/2023 vom 14. Februar 2024 E. 1.3).</w:t>
      </w:r>
    </w:p>
    <w:p>
      <w:r>
        <w:rPr>
          <w:b/>
        </w:rPr>
        <w:t>E. 2.2</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4A_605/2024 vom 22. April 2025 E. 2; 4A_626/2024 vom 21. März 2025 E. 1.4; 4A_43/2024 vom 14. Mai 2024 E. 1.4).</w:t>
      </w:r>
    </w:p>
    <w:p>
      <w:r>
        <w:rPr>
          <w:b/>
        </w:rPr>
        <w:t>E. 2.3</w:t>
      </w:r>
    </w:p>
    <w:p>
      <w:r>
        <w:t>Die Beschwerdeführerin verkennt diese Grundsätze. Sie unterbreitet dem Bundesgericht unter Hinweis auf verschiedene Dokumente und Rechtsschriften des Schiedsverfahrens in unzulässiger Weise ihre eigene Sicht der Dinge zum Hintergrund des Rechtsstreits und zur unterzeichneten Vereinbarung vom 22. September 2021. Dabei bringt sie vor, sie rüge mit ihrer Beschwerde "die Verletzung von Bundesrecht im Sinne von Art. 95 lit. a BGG durch die Vorinstanz". Dies ist jedoch im Beschwerdeverfahren betreffend Schiedsentscheide gerade ausgeschlossen (vgl. Art. 77 Abs. 2 BGG ).</w:t>
      </w:r>
    </w:p>
    <w:p>
      <w:r>
        <w:t>Ob die Beschwerdeführerin die formellen Anforderungen an eine hinreichend begründete Beschwerde durchwegs nicht erfüllt, weshalb auf diese insgesamt nicht einzutreten wäre, wie die Beschwerdegegnerin einwendet, braucht vorliegend nicht vertieft zu werden. Selbst wenn einzelne Vorbringen in der Beschwerde gestützt auf den für das Bundesgericht verbindlich festgestellten Sachverhalt ( Art. 105 Abs. 1 BGG ) als zulässige Rügen nach Art. 393 lit. b ZPO zu beurteilen wären, wäre der Beschwerde kein Erfolg beschieden.</w:t>
      </w:r>
    </w:p>
    <w:p>
      <w:r>
        <w:rPr>
          <w:b/>
        </w:rPr>
        <w:t>E. 3</w:t>
      </w:r>
    </w:p>
    <w:p>
      <w:r>
        <w:t>Zwischen den Parteien blieb strittig, ob die eingeklagten Ansprüche schiedsfähig sind und mit Ziffer 6 der Vereinbarung vom 22. September 2021 eine gültige Schiedsvereinbarung vorliegt (vgl. Art. 393 lit. b ZPO ).</w:t>
      </w:r>
    </w:p>
    <w:p>
      <w:r>
        <w:rPr>
          <w:b/>
        </w:rPr>
        <w:t>E. 3.1.1</w:t>
      </w:r>
    </w:p>
    <w:p>
      <w:r>
        <w:t>Gegenstand eines Schiedsverfahrens kann nach Art. 354 ZPO jeder Anspruch sein, über den die Parteien frei verfügen können. Ob und inwieweit ein Anspruch im Sinne dieser Bestimmung frei verfügbar ist, beurteilt sich nach dem materiellen Recht ( BGE 144 III 235 E. 2.3.2).</w:t>
      </w:r>
    </w:p>
    <w:p>
      <w:r>
        <w:rPr>
          <w:b/>
        </w:rPr>
        <w:t>E. 3.1.2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Entscheidend ist, dass der Wille der Parteien zum Ausdruck kommt, über bestimmte Streitigkeiten ein privates Schiedsgericht unter Ausschluss der staatlichen Gerichtsbarkeit verbindlich entscheiden zu lassen ( BGE 147 III 107 E. 3.1.2; 140 III 134 E. 3.1, 367 E. 2.2.2; 138 III 29 E. 2.2.3).</w:t>
      </w:r>
    </w:p>
    <w:p>
      <w:r>
        <w:t>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 BGE 147 III 107 E. 3.1.2; 144 III 235 E. 2.3.4; 140 III 134 E. 3.2).</w:t>
      </w:r>
    </w:p>
    <w:p>
      <w:r>
        <w:t>Bestimmungen in Schiedsvereinbarungen, die unvollständig, unklar, widersprüchlich oder unmöglich sind, gelten als pathologische Klauseln. Sofern sie nicht zwingende Elemente der Schiedsvereinbarung zum Gegenstand haben, namentlich die verbindliche Unterstellung der Streitentscheidung unter ein privates Schiedsgericht,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(vgl. BGE 138 III 29 E. 2.2.3).</w:t>
      </w:r>
    </w:p>
    <w:p>
      <w:r>
        <w:t>Steht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 BGE 140 III 134 E. 3.2; 138 III 29 E. 2.2.3; 130 III 66 E. 3.2).</w:t>
      </w:r>
    </w:p>
    <w:p>
      <w:r>
        <w:rPr>
          <w:b/>
        </w:rPr>
        <w:t>E. 3.2</w:t>
      </w:r>
    </w:p>
    <w:p>
      <w:r>
        <w:t>Die Beschwerdeführerin bringt zu Unrecht vor, es gehe materiellrechtlich um Stockwerkeigentum bzw. um die Ausübung von Rechten an gemeinschaftlichen Teilen. Wie die Beschwerdegegnerin zutreffend einwendet, macht sie keine sachenrechtlichen Ansprüche geltend, sondern obligationenrechtliche Ansprüche aus der Vereinbarung vom 22. September 2021, die einzig zwischen den beiden Parteien des vorliegenden Verfahrens abgeschlossen wurde und mit der sich die Beschwerdeführerin unter anderem dazu verpflichtete, bei der Erstellung einer Tiefgaragenzufahrt bestimmte Toleranzen einzuhalten bzw. bei Vertragsverletzung eine Konventionalstrafe zu bezahlen. Die Ausführungen der Beschwerdeführerin zu den verschiedenen von ihr ins Feld geführten sachenrechtlichen Bestimmungen (etwa Art. 712a und Art. 712g Abs. 1 i.V.m. Art. 647c ff. ZGB ) wie auch zum angeblich erforderlichen Einbezug von Drittpersonen zielen ins Leere. Inwiefern die Parteien über diese vertraglichen Ansprüche - sofern sie denn bestehen - nicht frei verfügen könnten, vermag sie nicht aufzuzeigen.</w:t>
      </w:r>
    </w:p>
    <w:p>
      <w:r>
        <w:t>Zwar bringt die Beschwerdeführerin grundsätzlich zu Recht vor, dass eine Analogie zur Theorie der doppelrelevanten Tatsachen, wie sie im angefochtenen Entscheid erwähnt wird, im Schiedsverfahren nicht angebracht ist ( BGE 141 III 495 E. 3.5.3.2). Die Einzelschiedsrichterin hat sich jedoch nicht etwa auf blosse Parteibehauptungen gestützt; vielmehr hat sie nachvollziehbar festgehalten, dass im Rahmen des Zuständigkeitsentscheids nur die Schiedsfähigkeit des Anspruchs bejaht werde, nicht aber, ob er auch materiell besteht. Damit hat die Einzelschiedsrichterin ihre Zuständigkeit nicht auf "Unsicherheiten aufgebaut", wie die Beschwerdeführerin einwendet. Der Einzelschiedsrichterin ist im Ergebnis auch in dieser Beziehung keine Verletzung von Art. 354 ZPO vorzuwerfen. Entsprechend ist auch den Vorbringen in der Beschwerde zur eingeklagten Konventionalstrafe die Grundlage entzogen.</w:t>
      </w:r>
    </w:p>
    <w:p>
      <w:r>
        <w:rPr>
          <w:b/>
        </w:rPr>
        <w:t>E. 3.3</w:t>
      </w:r>
    </w:p>
    <w:p>
      <w:r>
        <w:t>Hinsichtlich der Gültigkeit der in Ziffer 6 der Vereinbarung vom 22. September 2021 enthaltenen Schiedsklausel bestreitet die Beschwerdeführerin vor Bundesgericht einmal mehr die Bestimmbarkeit des Schiedsgerichts. Dabei verweist sie lediglich auf ihre Ausführungen im Rahmen des Schiedsverfahrens, ohne sich hinreichend mit den Erwägungen im angefochtenen Entscheid auseinanderzusetzen. Abgesehen davon ist nicht erkennbar, dass die Einzelschiedsrichterin den Utilitätsgedanken falsch angewendet hätte. Vielmehr hat sie gestützt auf die bundesgerichtliche Rechtsprechung zunächst zutreffend in einem ersten Schritt geprüft, ob die Parteien die Zuständigkeit der staatlichen Gerichte ausschliessen wollten, und erst in einem zweiten Schritt nach einem Vertragsverständnis gesucht, das die Schiedsvereinbarung bestehen lässt. Gegen die Erwägung der Einzelschiedsrichterin, wonach bezüglich des Ausschlusses der staatlichen Gerichtsbarkeit übereinstimmende Willenserklärungen vorlagen, erhebt die Beschwerdeführerin keine hinreichend begründeten Rügen. Entsprechendes gilt für den schiedsgerichtlichen Schluss, es sei von einer alternativen Zuständigkeit der in der Schiedsklausel erwähnten beiden Schiedsgerichte auszugehen.</w:t>
      </w:r>
    </w:p>
    <w:p>
      <w:r>
        <w:t>Soweit die Beschwerdeführerin schliesslich vorbringt, die von der Schiedsklausel in Ziffer 6 erfassten Streitigkeiten ("Alle sich aus oder im Zusammenhang mit dem vorliegenden Vertrag ergebenden Streitigkeiten, einschliesslich solcher über sein gültiges Zustandekommen, seine Rechtswirksamkeit, seine Abänderung oder Auflösung") seien weder bestimmt noch bestimmbar, sind ihre Ausführungen unbehelflich, soweit überhaupt verständlich.</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