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4A_247/2014 vom 23. September 2014</w:t>
      </w:r>
    </w:p>
    <w:p>
      <w:r>
        <w:t>Bundesgericht, 2014-09-23, FR</w:t>
      </w:r>
    </w:p>
    <w:p>
      <w:r>
        <w:rPr>
          <w:b/>
        </w:rPr>
        <w:t xml:space="preserve">Quelle: </w:t>
      </w:r>
      <w:r>
        <w:t>https://mcp.opencaselaw.ch/entscheid/bger_4A_247_2014</w:t>
      </w:r>
    </w:p>
    <w:p>
      <w:r>
        <w:t>FR: TF 4A_247/2014 du 23 septembre 2014</w:t>
      </w:r>
    </w:p>
    <w:p>
      <w:r>
        <w:t>IT: TF 4A_247/2014 del 23 settembre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2.1</w:t>
      </w:r>
    </w:p>
    <w:p>
      <w:r>
        <w:t>Le siège de l'arbitrage a été fixé à Genève. L'une des parties au moins n'avait pas son domicile, au sens de l' art. 21 al. 1 LDIP , en Suisse au moment déterminant. Les dispositions du chapitre 12 de la LDIP sont donc applicables ( art. 176 al. 1 LDIP ).</w:t>
      </w:r>
    </w:p>
    <w:p>
      <w:r>
        <w:rPr>
          <w:b/>
        </w:rPr>
        <w:t>E. 2.2</w:t>
      </w:r>
    </w:p>
    <w:p>
      <w:r>
        <w:t>La loi sur le droit international privé ne contient aucune disposition relative à la révision des sentences rendues en matière d'arbitrage international.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2.3</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Sauf sur quelques points concernant la révision pour violation de la CEDH, la réglementation de l'OJ en matière de révision a été reprise dans la LTF. Certaines modifications d'ordre systématique et rédactionnel ont toutefois été apportées. Ainsi, contrairement à l' art. 137 let. b OJ , l' art. 123 al. 2 let. a LTF ne contient plus l'expression impropre de "faits nouveaux", mais précise qu'il doit s'agir de faits pertinents découverts après coup, à l'exclusion des faits postérieurs à l'arrêt. Il n'en demeure pas moins que, sur le fond, la jurisprudence relative aux "faits nouveaux" garde toute sa portée.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w:t>
      </w:r>
    </w:p>
    <w:p>
      <w:r>
        <w:t>nova ne doit pas servir à remédier aux omissions de la partie requérante dans la conduite du procès (arrêt 4A_570/2011 du 23 juillet 2012 consid. 4.1).</w:t>
      </w:r>
    </w:p>
    <w:p>
      <w:r>
        <w:t>Pour le motif énoncé à l' art. 123 al. 2 let. a LTF , la demande de révision doit être déposée devant le Tribunal fédéral, sous peine de déchéance, dans les 90 jours qui suivent la découverte du motif de révision, compte tenu de la suspension de ce délai légal dans les hypothèses prévues à l' art. 46 LTF (cf. arrêt 4A_666/2012 du 3 juin 2013 consid. 5.1), mais au plus tôt dès la notification de l'expédition complète de la sentence ( art. 124 al. 1 let . d LTF).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(arrêt 4A_570/2011, précité, ibid.).</w:t>
      </w:r>
    </w:p>
    <w:p>
      <w:r>
        <w:t>Au demeurant, comme la révision est une voie de droit subsidiaire par rapport au recours fondé sur l' art. 190 al. 2 LDIP ( ATF 129 III 727 consid. 1 p. 729), il est exclu d'y invoquer un motif prévu par cette disposition et découvert avant l'échéance du délai de recours (arrêt 4A_234/2008 du 14 août 2008 consid. 2.1).</w:t>
      </w:r>
    </w:p>
    <w:p>
      <w:r>
        <w:rPr>
          <w:b/>
        </w:rPr>
        <w:t>E. 3</w:t>
      </w:r>
    </w:p>
    <w:p>
      <w:r>
        <w:t>Il convient d'examiner la demande de révision à la lumière de ces principes jurisprudentiels pour juger de la recevabilité et, le cas échéant, du bien-fondé du motif qui y est invoqué.</w:t>
      </w:r>
    </w:p>
    <w:p>
      <w:r>
        <w:rPr>
          <w:b/>
        </w:rPr>
        <w:t>E. 3.1</w:t>
      </w:r>
    </w:p>
    <w:p>
      <w:r>
        <w:t>Par courrier de ses conseils du 3 mars 2014, la recourante a informé le président du Tribunal arbitral de la mise en accusation, aux Etats-Unis d'Amérique, d'un ressortissant xxx dénommé F.________, soupçonné d'avoir touché des pots-de-vin versés par le truchement de consultants, telle l'intimée, qui agissaient pour le compte d'entreprises étrangères souhaitant obtenir l'adjudication de marchés dans le cadre de la mise au concours de différents projets de construction de centrales électriques. A ce courrier était annexé un acte d'accusation (</w:t>
      </w:r>
    </w:p>
    <w:p>
      <w:r>
        <w:t>Indictment) dressé le 10 février 2014 par le</w:t>
      </w:r>
    </w:p>
    <w:p>
      <w:r>
        <w:t>Grand Jury for the district of Maryland dans la cause</w:t>
      </w:r>
    </w:p>
    <w:p>
      <w:r>
        <w:t>United States of America</w:t>
      </w:r>
    </w:p>
    <w:p>
      <w:r>
        <w:t>v.</w:t>
      </w:r>
    </w:p>
    <w:p>
      <w:r>
        <w:t>F.________ .</w:t>
      </w:r>
    </w:p>
    <w:p>
      <w:r>
        <w:t>Le président du Tribunal arbitral a indiqué à la recourante, par courrier électronique du 4 mars 2014, que la lettre précitée lui est parvenue alors que la sentence finale avait déjà été signée par tous les membres de la formation arbitrale. Il a confirmé la chose dans une lettre du 5 mai 2014 où il relate en détail le processus d'adoption de la sentence attaquée.</w:t>
      </w:r>
    </w:p>
    <w:p>
      <w:r>
        <w:rPr>
          <w:b/>
        </w:rPr>
        <w:t>E. 3.2</w:t>
      </w:r>
    </w:p>
    <w:p>
      <w:r>
        <w:t>L'intimée conclut principalement à l'irrecevabilité de la demande de révision. Se fondant sur un communiqué de presse du DOJ du 10 février 2014 relatif à la mise en accusation de F.________, elle soutient que la requérante a attendu trois semaines pour porter cette circonstance à la connaissance du Tribunal arbitral, sans fournir aucune explication à cet atermoiement, alors qu'une réaction diligente de sa part eût permis aux arbitres de prendre en compte l'inculpation du prénommé, soit en rouvrant les débats, soit en appréciant la portée de ce fait. A en croire l'intimée, la requérante aurait retenu cette information à dessein pour s'assurer qu'il n'y aurait pas de débat contradictoire devant le Tribunal arbitral au sujet de la circonstance en question et éviter ainsi que celui-ci ne rende la même sentence, nonobstant cette mise en accusation, de telle sorte que le Tribunal fédéral, saisi d'un recours, eût été lié par le constat que l'inculpation du ressortissant xxx susnommé ne suffisait pas à établir l'implication de l'intimée dans un acte de corruption par rapport à cette personne (réponse, n. 12 à 17).</w:t>
      </w:r>
    </w:p>
    <w:p>
      <w:r>
        <w:t>La thèse soutenue par l'intimée n'est pas convaincante. La requérante, qui la conteste fermement dans sa réplique, paraît crédible lorsqu'elle souligne que les trois semaines qui se sont écoulées entre l'annonce publique de la mise en accusation de F.________ et la transmission de cette information au Tribunal arbitral correspondent au temps qu'il lui a fallu, ainsi qu'à ses conseils suisses et américains, pour effectuer les vérifications préalables nécessaires à toute divulgation et recouper les renseignements avec ceux qui figuraient déjà dans le dossier de l'arbitrage. En outre, et c'est sans doute là une objection dirimante à opposer à ladite thèse, la requérante affirme, avec raison, que sa bonne foi ne saurait être remise en cause, étant donné que, le jour où elle avait nanti le Tribunal arbitral de l'inculpation du ressortissant xxx, elle ne savait pas ni ne pouvait savoir que la sentence finale avait déjà été signée par tous les membres du Tribunal arbitral.</w:t>
      </w:r>
    </w:p>
    <w:p>
      <w:r>
        <w:t>Pour le reste, il est indéniable que la circonstance invoquée à l'appui de la demande de révision l'a été dans le délai fixé à l' art. 124 al. 1 let . d LTF.</w:t>
      </w:r>
    </w:p>
    <w:p>
      <w:r>
        <w:t>Rien ne s'oppose, dès lors, à l'entrée en matière.</w:t>
      </w:r>
    </w:p>
    <w:p>
      <w:r>
        <w:rPr>
          <w:b/>
        </w:rPr>
        <w:t>E. 3.3.1</w:t>
      </w:r>
    </w:p>
    <w:p>
      <w:r>
        <w:t>F.________ a été mis formellement en accusation le 10 février 2014. Cette mise en accusation constitue un fait qui s'est produit avant le 3 mars 2014, date à laquelle la sentence finale a été rendue. La requérante en a certes eu connaissance avant cette dernière date. Cependant, elle n'a pas pu l'introduire dans la procédure arbitrale, sans faute de sa part au demeurant (cf. consid. 3.2), dès lors que ladite sentence avait déjà été rendue au moment où elle a tenté de le faire. On est donc bien en présence d'un faux</w:t>
      </w:r>
    </w:p>
    <w:p>
      <w:r>
        <w:t>novum susceptible en soi de fonder une demande de révision sur la base de l' art. 123 al. 2 let. a LTF , respectivement d'une preuve nouvelle, au sens de cette disposition, s'agissant de la pièce produite pour démontrer l'existence du fait en question, à savoir l'</w:t>
      </w:r>
    </w:p>
    <w:p>
      <w:r>
        <w:t>Indictment précité (cf. consid. 3.1, 1er par. i.f.). Il reste à examiner si ce fait peut être qualifié de pertinent, autrement dit sa prise en considération devrait permettre d'aboutir à une solution différente, plus favorable à la requérante, en fonction d'une appréciation juridique correcte.</w:t>
      </w:r>
    </w:p>
    <w:p>
      <w:r>
        <w:rPr>
          <w:b/>
        </w:rPr>
        <w:t>E. 3.3.2</w:t>
      </w:r>
    </w:p>
    <w:p>
      <w:r>
        <w:t>Dans une remarque liminaire, la requérante indique qu'elle démontrera que, si le Tribunal arbitral avait eu connaissance de la mise en accusation de F.________ aux Etats-Unis d'Amérique, il aurait rendu une sentence différente, "eu égard aux risques accrus encourus par [elle] sous l'angle des législations anticorruption (notamment américaine et anglaise) " (demande de révision, n. 26). Plus loin, elle cite tout d'abord un passage de la sentence finale dans lequel le Tribunal arbitral constate que l'allégation implicite de corruption visant l'intimée n'a pas été prouvée (n. 124 i.f.). Partant de là, elle affirme que la mise en accusation du ressortissant xxx, à la supposer connue des arbitres, eût conduit ceux-ci à un résultat différent, car elle constitue la preuve matérielle de la probable implication de l'intimée et de son unique ayant droit, G.________, dans le système de corruption mis en place par F.________ en marge de l'attribution de certains marchés (demande de révision, n. 45). La requérante cite ensuite des extraits de l'</w:t>
      </w:r>
    </w:p>
    <w:p>
      <w:r>
        <w:t>Indictment où il est fait état d'une société dénommée</w:t>
      </w:r>
    </w:p>
    <w:p>
      <w:r>
        <w:t>Y.________ , spécialisée dans la fourniture de services liés à l'électricité, qui avait un représentant appelé</w:t>
      </w:r>
    </w:p>
    <w:p>
      <w:r>
        <w:t>Consultant B , lequel avait effectué, à ce titre, un certain nombre de versements de pots-de-vin sur plusieurs comptes bancaires au bénéfice de F.________. Faisant un recoupement avec les indications ressortant de la demande d'entraide non anonymisée adressée le 16 octobre 2012 aux autorités suisses par le DOJ, elle affirme, à cet égard, que la</w:t>
      </w:r>
    </w:p>
    <w:p>
      <w:r>
        <w:t>F.________ mentionnée dans les extraits cités n'est autre qu'elle-même, l'intimée étant le</w:t>
      </w:r>
    </w:p>
    <w:p>
      <w:r>
        <w:t>Consultant B (demande de révision, n. 46 s.). La requérante cite encore des passages de déclarations faites durant l'audience du Tribunal arbitral du 4 décembre 2013 par G.________ et D.________ au sujet des liens noués par l'ayant droit de l'intimée avec F.________, ceci en vue de démontrer que ces liens ont été considérés comme "centraux" par le Tribunal arbitral, mais que les éléments recueillis dans la procédure d'arbitrage n'étaient pas suffisamment probants pour accréditer la thèse d'une entente illicite entre l'intimée et le ressortissant xxx dans le contexte de l'attribution des marchés convoités par la société zzz. Et la requérante de conclure que la mise en accusation de F.________ serait propre à inverser la solution retenue dans la sentence finale, si le Tribunal arbitral statuait à nouveau en connaissance de ce nouvel élément, dès lors qu'elle confirme la position du DOJ et l'existence de soupçons de corruption pesant sur l'intimée.</w:t>
      </w:r>
    </w:p>
    <w:p>
      <w:r>
        <w:t>La démonstration que la requérante disait vouloir faire quant à l'incidence de la circonstance invoquée dans sa demande de révision sur l'issue du litige, au cas où le Tribunal arbitral serait invité à reprendre l'examen de la cause, autrement dit la pertinence de ce fait nouveau, a échoué. C'est le lieu de rappeler, comme on l'a déjà souligné dans l'arrêt de ce jour relatif au recours en matière civile dirigé contre la sentence formant l'objet de la demande de révision, que ce que la recourante déplore n'est pas tant la corruption censée affecter les contrats qu'elle a passés avec l'intimée -elle n'a du reste pas plaidé leur nullité à ce titre, devant le Tribunal arbitral, et les a déjà exécutés en partie - que le risque, auquel l'exposerait l'exécution de la sentence attaquée, d'être sanctionnée lourdement sur la base de dispositions de droit pénal édictées par les Etats-Unis d'Amérique et l'Angleterre, à savoir le</w:t>
      </w:r>
    </w:p>
    <w:p>
      <w:r>
        <w:t>FCPA et le</w:t>
      </w:r>
    </w:p>
    <w:p>
      <w:r>
        <w:t>Bribery Act (arrêt cité, consid. 5.2). Or, les motifs énoncés à ce propos au consid. 5.2.1 et 5.2.2 dudit arrêt demeurent valables, nonobstant le fait nouveau invoqué par elle. Aussi bien, la mise en accusation, aux Etats-Unis d'Amérique d'un ressortissant xxx lié peu ou prou à l'intimée ne modifie pas fondamentalement les données du problème, telles qu'elles ressortent de ces motifs. Il n'est toujours pas démontré en quoi l'</w:t>
      </w:r>
    </w:p>
    <w:p>
      <w:r>
        <w:t>Indictment du 10 février 2014 revêtirait de l'importance au regard du</w:t>
      </w:r>
    </w:p>
    <w:p>
      <w:r>
        <w:t>Bribery Act , s'agissant d'une enquête diligentée par les autorités américaines, voire sous l'angle du</w:t>
      </w:r>
    </w:p>
    <w:p>
      <w:r>
        <w:t>FCPA , la requérante concédant elle-même, dans sa réplique, que F.________ n'est pas poursuivi de ce chef. Au reste, mise en accusation n'est pas synonyme de condamnation, ainsi que le DOJ le fait remarquer à la fin de son communiqué de presse précité (</w:t>
      </w:r>
    </w:p>
    <w:p>
      <w:r>
        <w:t>The charges contained in the indictment are merely accusations, and the defendant is presumed innocent unless and until proven guilty ). Il n'apparaît pas non plus que l'intimée serait directement impliquée dans une procédure pénale pendante. Demeure également non élucidé le risque que courrait la requérante, en sa qualité de société de droit zzz, de subir une condamnation aux Etats-Unis d'Amérique, non plus que le délai dans lequel ce risque pourrait se concrétiser. L'inapplicabilité, en l'espèce, du principe rendu par l'adage "le pénal tient le civil en l'état", telle qu'elle a été justifiée par le Tribunal arbitral, n'est pas davantage remise en cause par le fait nouveau qu'invoque la requérante. Il ne faut pas perdre de vue, au demeurant, que la révision est un moyen de droit extraordinaire dont la mise en oeuvre doit rester l'exception, à plus forte raison lorsque l'introduction d'une telle procédure a, sinon pour but, du moins pour effet de permettre à une partie qui a bénéficié des services fournis par son cocontractant de ne pas les rémunérer ou, en tout cas, de ne pas payer l'intégralité du prix convenu pour leur prestation.</w:t>
      </w:r>
    </w:p>
    <w:p>
      <w:r>
        <w:t>Cela étant, il y a lieu de rejeter la demande de révision de la sentence du 3 mars 2014.</w:t>
      </w:r>
    </w:p>
    <w:p>
      <w:r>
        <w:rPr>
          <w:b/>
        </w:rPr>
        <w:t>E. 4</w:t>
      </w:r>
    </w:p>
    <w:p>
      <w:r>
        <w:t>L a requérante,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