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4A_246/2021 vom 26. Mai 2021</w:t>
      </w:r>
    </w:p>
    <w:p>
      <w:r>
        <w:t>Bundesgericht, 2021-05-26, DE</w:t>
      </w:r>
    </w:p>
    <w:p>
      <w:r>
        <w:rPr>
          <w:b/>
        </w:rPr>
        <w:t xml:space="preserve">Quelle: </w:t>
      </w:r>
      <w:r>
        <w:t>https://mcp.opencaselaw.ch/entscheid/bger_4A_246_2021</w:t>
      </w:r>
    </w:p>
    <w:p>
      <w:r>
        <w:t>FR: TF 4A_246/2021 du 26 mai 2021</w:t>
      </w:r>
    </w:p>
    <w:p>
      <w:r>
        <w:t>IT: TF 4A_246/2021 del 26 maggio 2021</w:t>
      </w:r>
    </w:p>
    <w:p>
      <w:pPr>
        <w:pStyle w:val="Heading2"/>
      </w:pPr>
      <w:r>
        <w:t>Erwägungen</w:t>
      </w:r>
    </w:p>
    <w:p>
      <w:r>
        <w:rPr>
          <w:b/>
        </w:rPr>
        <w:t>E. 1</w:t>
      </w:r>
    </w:p>
    <w:p>
      <w:r>
        <w:t>Die Beschwerdeführerin reichte am 28. November 2020 am Handelsgericht des Kantons Zürich eine negative Feststellungsklage gegen die Beschwerdegegnerin ein. Nachdem das Handelsgericht die Beschwerdeführerin aufgefordert hatte, einen Gerichtskostenvorschuss von Fr. 11'500.-- zu leisten, stellte diese am 18. Januar 2021 ein Gesuch um unentgeltliche Rechtspflege. Die Beschwerdegegnerin ersuchte um Abweisung des Gesuchs um unentgeltliche Rechtspflege und beantragte die Sicherstellung der Parteientschädigung.</w:t>
      </w:r>
    </w:p>
    <w:p>
      <w:r>
        <w:t>Mit Entscheid vom 6. April 2021 wies das Handelsgericht des Kantons Zürich das Gesuch der Beschwerdeführerin um unentgeltliche Rechtspflege ab. Weiter setzte es ihr eine einmalige Frist bis 22. April 2021 zur Leistung des Gerichtskostenvorschusses von Fr. 11'500.-- und zur Leistung einer Sicherheit für die Parteientschädigung von Fr. 21'930.--. Mit Verfügung vom 28. April 2021 gewährte das Handelsgericht des Kantons Zürich der Beschwerdeführerin eine einmalige Nachfrist bis 10. Mai 2021 zur Bezahlung des Gerichtskostenvorschusses und der Sicherheit für die Parteientschädigung gemäss Beschluss vom 6. April 2021.</w:t>
      </w:r>
    </w:p>
    <w:p>
      <w:r>
        <w:t>Gegen die Verfügung vom 28. April 2021 erhob die Beschwerdeführerin mit Eingabe vom 5. Mai 2021 Beschwerde an das Bundesgericht. Sie beantragte, die Verfügung des Handelsgerichts vom 28. April 2021 sei aufzuheben und ihr sei die unentgeltliche Rechtspflege zu genehmigen. Ferner beantragte sie Gewährung der aufschiebenden Wirkung und die unentgeltliche Rechtspflege für das bundesgerichtliche Verfahren.</w:t>
      </w:r>
    </w:p>
    <w:p>
      <w:r>
        <w:t>Mit Verfügung vom 7. Mai 2021 wurde das Gesuch um aufschiebende Wirkung abgewiesen, da die Beschwerde als aussichtslos erscheint.</w:t>
      </w:r>
    </w:p>
    <w:p>
      <w:r>
        <w:t>Mit Eingabe vom 10. Mai 2021 bezeichnete die Beschwerdeführerin eine Zustelladresse in der Schweiz. Auf die Einholung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der Beschwerdeführerin erfüllt diese Begründungsanforderungen offensichtlich nicht.</w:t>
      </w:r>
    </w:p>
    <w:p>
      <w:r>
        <w:t>Die Beschwerde richtet sich gegen die Verfügung der Vorinstanz vom 28. April 2021, wendet sich inhaltlich jedoch einzig gegen den Beschluss der Vorinstanz vom 6. April 2021 (vgl. bezüglich Letzterem das bundesgerichtliche Verfahren 4A_242/2021). Inwiefern die Verfügung vom 28. April 2021 Recht verletzen würde, begründet die Beschwerdeführerin nicht, zumindest offensichtlich nicht hinreichend (Erwägung 2.1). 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4A_26/2021 vom 12. Februar 2021 E. 6).</w:t>
      </w:r>
    </w:p>
    <w:p>
      <w:r>
        <w:rPr>
          <w:b/>
        </w:rPr>
        <w:t>E. 5</w:t>
      </w:r>
    </w:p>
    <w:p>
      <w:r>
        <w:t>Bei diesem Ausgang des Verfahrens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