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245/2012 vom 2. August 2012</w:t>
      </w:r>
    </w:p>
    <w:p>
      <w:r>
        <w:t>Bundesgericht, 2012-08-02, FR</w:t>
      </w:r>
    </w:p>
    <w:p>
      <w:r>
        <w:rPr>
          <w:b/>
        </w:rPr>
        <w:t xml:space="preserve">Quelle: </w:t>
      </w:r>
      <w:r>
        <w:t>https://mcp.opencaselaw.ch/entscheid/bger_4A_245_2012</w:t>
      </w:r>
    </w:p>
    <w:p>
      <w:r>
        <w:t>FR: TF 4A 245/2012 du 2 août 2012</w:t>
      </w:r>
    </w:p>
    <w:p>
      <w:r>
        <w:t>IT: TF 4A 245/2012 del 2 agosto 2012</w:t>
      </w:r>
    </w:p>
    <w:p>
      <w:pPr>
        <w:pStyle w:val="Heading2"/>
      </w:pPr>
      <w:r>
        <w:t>Regeste</w:t>
      </w:r>
    </w:p>
    <w:p>
      <w:r>
        <w:t>contrat de travail, congé ordinaire, obligation de continuer à payer le salaire en cas de maladie | Droit des contrats</w:t>
      </w:r>
    </w:p>
    <w:p>
      <w:pPr>
        <w:pStyle w:val="Heading2"/>
      </w:pPr>
      <w:r>
        <w:t>Erwägungen</w:t>
      </w:r>
    </w:p>
    <w:p>
      <w:r>
        <w:rPr>
          <w:b/>
        </w:rPr>
        <w:t>E. 1.1</w:t>
      </w:r>
    </w:p>
    <w:p>
      <w:r>
        <w:t>Interjeté par la partie demanderesse qui a entièrement succombé dans ses conclusions en paiement et qui a ainsi la qualité pour recourir ( art. 76 al. 1 LTF ), dirigé contre un arrêt final ( art. 90 LTF ) rendu en matière civile ( art. 72 al. 1 LTF ) par un tribunal supérieur statuant sur recours en dernière instance cantonale ( art. 75 LTF ) dans une affaire pécuniaire dont la valeur litigieuse atteint le seuil de 15'000 fr. prévu en matière de droit du travail (art. 51 al. 1 let. a et 74 al. 1 let. a LTF),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137 II 313 consid. 1.4 p. 317 s.;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telle que l'entend l' art. 9 Cst. ( ATF 137 I 58 consid. 4.1.2 p. 62; 136 II 304 consid. 2.4) - ou en violation du droit au sens de l' art. 95 LTF ( art. 105 al. 2 LTF ). La partie recourante qui veut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Une rectification de l'état de fait ne peut être demandée que si elle est susceptible d'influer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w:t>
      </w:r>
    </w:p>
    <w:p>
      <w:r>
        <w:t>Le recourant déclare d'emblée que son recours se limite désormais à la seule question du droit au salaire en cas de maladie. Il s'en prend à l'interprétation qu'a effectuée l'autorité cantonale de l'art. 6 des conditions générales d'engagement qui étaient annexées à son contrat de travail, instaurant un « plan de continuation de salaire ». Il prétend que le terme « continuation » figurant dans la clause litigieuse évoque clairement la poursuite du versement des prestations convenues après la fin des rapports de travail, lesquelles ne seraient plus dues en l'absence de plan. Il fait en particulier référence à l'arrêt 4A_50/2011 du 6 avril 2011, où le Tribunal fédéral a jugé que l'employeur était tenu par son engagement contractuel d'assumer le 100% du salaire après la fin des rapports de travail malgré le fait que l'assurance perte de gain ne couvrait que le 80% du salaire. Soulignant que l'engagement de l'intimée prévu à l'art. 6 des conditions générales est similaire à un engagement relatif au versement d'indemnités journalières d'assurance, il allègue que c'est en violation du droit fédéral que la cour cantonale a retenu qu'il n'avait pas droit en l'espèce à la totalité de sa rémunération pendant deux ans. La cour cantonale a estimé que c'est sur la base du contrat d'assurance collective conclu par l'intimée, et non en fonction de l'art. 6 des conditions générales de travail, que les indemnités journalières d'assurance ont continué d'être versées au recourant indépendamment de la fin de ses rapports de travail. Interprétant l'art. 6 des conditions générales d'engagement d'après le principe de la confiance, la Chambre des prud'hommes a considéré que cette clause ne visait aucunement les employés qui n'étaient plus au bénéfice d'un contrat de travail, à l'instar du recourant dont le contrat avait été résilié le 26 janvier 2009.</w:t>
      </w:r>
    </w:p>
    <w:p>
      <w:r>
        <w:rPr>
          <w:b/>
        </w:rPr>
        <w:t>E. 3.1</w:t>
      </w:r>
    </w:p>
    <w:p>
      <w:r>
        <w:t>Il a été retenu - de manière à lier le Tribunal fédéral ( art. 105 al. 1 LTF ) - que le recourant a été totalement incapable de travailler du 30 avril 2009 au 31 octobre 2009, date à laquelle ses relations de travail avec l'intimée ont pris fin. Cette incapacité de travail de 100%, qui a ainsi pris naissance avant l'extinction du contrat conclu par les parties, s'est poursuivie du 1er novembre 2009 au 31 octobre 2010; l'incapacité de travail de l'intéressé a par la suite été fixée à 80% du 1er novembre 2010 jusqu'au 31 janvier 2011. Le recourant ne conteste pas avoir reçu durant la période s'étendant ainsi du 30 avril 2009 au 31 janvier 2011 les indemnités journalières auxquelles il avait droit en vertu de la police d'assurance collective conclue le 10 décembre 2007 par son ancien employeur, indemnités qui couvraient, après un délai d'attente de 30 jours, le 80% du salaire lorsque l'incapacité de travail était entière et le 64% du salaire lorsque l'incapacité de travail a été réduite à 80% dès le 1er novembre 2010 (80% de 80%). Il est encore établi que l'intimée a complété du 30 avril 2009 au 31 octobre 2009 lesdites indemnités journalières perte de gain, de telle manière que le travailleur perçoive alors l'intégralité de son salaire. S'agissant de la période du 1er novembre 2009 au 31 octobre 2010, le recourant fait toutefois valoir qu'en vertu de l'art. 6 des conditions générales d'engagement incorporées à son contrat de travail, l'intimée se devait de lui verser, en sus des indemnités journalières de l'assurance perte de gain, le 20% de son ancien salaire. Quant à la période qui a couru du 1er novembre 2010 au 31 janvier 2011, le recourant, toujours en fonction de la même norme contractuelle, entend que l'intimée lui octroie, en plus des indemnités journalières qu'il a encaissées, le 16% de son salaire. On voit donc que le litige porte uniquement sur l'interprétation qu'il y a lieu de donner à l'art. 6 desdites conditions générales, dont il n'est pas contesté qu'elles ont été intégrées au contrat de travail noué par les plaideurs.</w:t>
      </w:r>
    </w:p>
    <w:p>
      <w:r>
        <w:rPr>
          <w:b/>
        </w:rPr>
        <w:t>E. 3.2</w:t>
      </w:r>
    </w:p>
    <w:p>
      <w:r>
        <w:t>Les conditions générales, lorsqu'elles ont été incorporées au contrat, en font parie intégrante, si bien qu'elles doivent être interprétées selon les mêmes principes que les autres dispositions contractuelles ( ATF 135 III 1 consid. 2 p. 6; 133 III 675 consid. 3.3 p. 681). Lorsqu'il est amené à qualifier ou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il pose une constatation de fait qui lie en principe le Tribunal fédéral conformément à l' art. 105 LTF . Si la volonté réelle des parties ne peut pas être établie ou si leurs volontés intimes divergent, le juge doit interpréter les déclarations et les comportements selon la théorie de la confiance; il doit donc rechercher comment une déclaration ou une attitude pouvait être comprise de bonne foi en fonction de l'ensemble des circonstances ( ATF 135 III 295 consid. 5.2). Le principe de la confiance permet d'imputer à une partie le sens objectif de sa déclaration ou de son comportement, même s'il ne correspond pas à sa volonté intime. L'application du principe de la confiance est une question de droit que le Tribunal fédéral peut examiner librement ( art. 106 al. 1 LTF ). Mais pour trancher cette question, il faut se fonder sur le contenu de la manifestation de volonté et sur les circonstances, dont la constatation ressortit au fait. Les circonstances déterminantes à cet égard sont celles qui ont précédé ou accompagné la manifestation de volonté, mais non pas les événements postérieurs, à l'exemple du comportement adopté par les parties contractantes après qu'elles ont conclu l'accord ( ATF 136 III 186 consid. 3.2.1 p. 188; 135 III 295 consid. 5.2 p. 302; 133 III 61 consid. 2.2.1, 675 consid. 3.3 p. 681 s.).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n'existe aucune raison sérieuse de penser qu'il ne correspond pas à leur volonté ( ATF 136 III 186 consid. 3.2.1 p. 188; 135 III 295 consid. 5.2 p. 302; 133 III 61 consid. 2.2.1, 675 consid. 3.3 p. 681 s.).</w:t>
      </w:r>
    </w:p>
    <w:p>
      <w:r>
        <w:rPr>
          <w:b/>
        </w:rPr>
        <w:t>E. 3.3</w:t>
      </w:r>
    </w:p>
    <w:p>
      <w:r>
        <w:t>Au considérant 5.2, p. 12, de l'arrêt entrepris, l'autorité cantonale a retenu qu'en faisant de l'art. 6 des conditions générales d'engagement une clause du contrat de travail passé avec le recourant, l'intimée n'avait pas la volonté réelle de s'engager à verser à celui-ci un salaire après la fin des rapports de travail; elle a encore constaté que la volonté réelle du travailleur à cet égard restait « indécise ». Il résulte de ces considérations que l'autorité cantonale n'est pas parvenue à déterminer la volonté réelle commune des parties quant au sens qu'il faut attribuer à cette disposition des conditions générales. Il faut donc interpréter cette disposition à la lumière de la théorie de la confiance. L'art. 6 desdites conditions générales prévoit qu'en cas d'incapacité de travail due à la maladie, l'intimée verse le salaire - entier - durant une période de deux ans au maximum. La norme précise ensuite que tous les employés de l'intimée sont automatiquement couverts gratuitement « par ce plan de continuation de salaire » s'ils ont des contrats de travail de durée indéterminée, à l'exception des nouveaux employés durant leur temps d'essai. Il faut déduire de bonne foi du libellé de cette norme que le plan en question ne s'applique qu'aux travailleurs au bénéfice de contrats de travail de durée indéterminée. Cette disposition est ainsi inapplicable aux travailleurs encore dans le temps d'essai et à ceux qui sont liés à l'employeur par un contrat de durée déterminée. In casu, le recourant a certes été engagé par l'intimée en septembre 1999 pour une durée indéterminée. Mais son contrat a été résilié le 26 janvier 2009 pour le 30 avril 2009. Or le travailleur est devenu incapable de travailler le 30 avril 2009, soit le dernier jour du délai ordinaire de congé. A cette date, le recourant ne pouvait plus raisonnablement admettre qu'il était lié à son ancien employeur par un contrat de durée indéterminée, dès l'instant où ce même jour son contrat devait en principe prendre fin. Autrement dit, il devait objectivement comprendre que le « plan de continuation de salaire » mis en place par l'intimée ne lui était désormais plus applicable. Le raisonnement de la cour cantonale est conforme au droit fédéral. Le moyen est dénué de fondement, ce qui entraîne le rejet du recours.</w:t>
      </w:r>
    </w:p>
    <w:p>
      <w:r>
        <w:rPr>
          <w:b/>
        </w:rPr>
        <w:t>E. 4</w:t>
      </w:r>
    </w:p>
    <w:p>
      <w:r>
        <w:t>Vu l'issue du litige, le recourant prendra à sa charge les frais judiciaires ( art. 66 al. 1 LTF ). Il n'y a pas lieu d'allouer des dépens à l'intimée, qui n'est pas représentée par un avocat et n'a pas fait état de dépenses particulières (cf ATF 133 III 439 consid. 4 p.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