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4A_244/2022 vom 13. Januar 2023</w:t>
      </w:r>
    </w:p>
    <w:p>
      <w:r>
        <w:t>Bundesgericht, 2023-01-13, FR</w:t>
      </w:r>
    </w:p>
    <w:p>
      <w:r>
        <w:rPr>
          <w:b/>
        </w:rPr>
        <w:t xml:space="preserve">Quelle: </w:t>
      </w:r>
      <w:r>
        <w:t>https://mcp.opencaselaw.ch/entscheid/bger_4A_244_2022</w:t>
      </w:r>
    </w:p>
    <w:p>
      <w:r>
        <w:t>FR: TF 4A_244/2022 du 13 janvier 2023</w:t>
      </w:r>
    </w:p>
    <w:p>
      <w:r>
        <w:t>IT: TF 4A_244/2022 del 13 gennaio 2023</w:t>
      </w:r>
    </w:p>
    <w:p>
      <w:pPr>
        <w:pStyle w:val="Heading2"/>
      </w:pPr>
      <w:r>
        <w:t>Erwägungen</w:t>
      </w:r>
    </w:p>
    <w:p>
      <w:r>
        <w:rPr>
          <w:b/>
        </w:rPr>
        <w:t>E. 1</w:t>
      </w:r>
    </w:p>
    <w:p>
      <w:r>
        <w:t>Interjeté dans le délai fixé par la loi ( art. 100 al. 1 LTF ) par l'assureur RC professionnelle de la société de courtage, appelé en cause, qui a succombé dans ses conclusions libératoires ( art. 76 al. 1 LTF ), et dirigé contre une décision finale ( art. 90 LTF ) rendue sur appel par le tribunal supérieur du canton de Genève ( art. 75 LTF ) dans une affaire civile ( art. 72 al. 1 LTF ) dont la valeur litigieuse s'élève au moins à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Il n'est pas remis en cause que la société de courtage a violé de manière fautive ses obligations de mandataire. Seul demeure litigieux le lien de causalité hypothétique entre cette violation et le dommage causé à la société fiduciaire, soit 41'878,20 EUR avec intérêts.</w:t>
      </w:r>
    </w:p>
    <w:p>
      <w:r>
        <w:t>La recourante, assureur RC professionnelle, reproche à la cour cantonale d'avoir retenu l'existence d'un tel lien de causalité hypothétique. Elle argue, d'une part, qu'il incombait à la société fiduciaire d'alléguer et de prouver les faits retenus par la cour cantonale pour établir la causalité hypothétique et, d'autre part, que c'est à tort que la cour cantonale a retenu que l'existence d'une solution alternative à l'assurance souscrite était établie sous l'angle de la vraisemblance prépondérante. Elle invoque une violation des art. 97 et 398 CO , 8 CC et 55 et 221 CPC.</w:t>
      </w:r>
    </w:p>
    <w:p>
      <w:r>
        <w:rPr>
          <w:b/>
        </w:rPr>
        <w:t>E. 3.1.1</w:t>
      </w:r>
    </w:p>
    <w:p>
      <w:r>
        <w:t>En vertu de l' art. 398 al. 1 CO , qui renvoie à l' art. 321e al. 1 CO , le mandataire répond du dommage qu'il cause au mandant intentionnellement ou par négligence. Sa responsabilité est donc subordonnée aux quatre conditions suivantes, conformément au régime général de l' art. 97 CO : (1) une violation des obligations qui lui incombent en vertu du contrat, notamment la violation de ses obligations de diligence et de fidélité ( art. 398 al. 2 CO ); (2) un dommage; (3) un rapport de causalité (naturelle et adéquate) entre la violation du contrat et le dommage; et (4) une faute (arrêts 4A_148/2022 du 21 décembre 2022 consid. 3.1; 4A_445/2021 du 4 avril 2022 consid. 4.1; 4A_187/2021 du 22 septembre 2021 consid. 3.1.1; 4A_2/2020 du 19 septembre 2020 consid. 3.1; 4A_350/2019 du 9 janvier 2020 consid. 3.1 et les arrêts cités).</w:t>
      </w:r>
    </w:p>
    <w:p>
      <w:r>
        <w:t>Conformément à l' art. 8 CC , le mandant supporte le fardeau de l'allégation objectif (</w:t>
      </w:r>
    </w:p>
    <w:p>
      <w:r>
        <w:t>objektive Behauptungslast ) et le fardeau de la preuve (</w:t>
      </w:r>
    </w:p>
    <w:p>
      <w:r>
        <w:t>Beweislast ) des trois premières conditions; il incombe en revanche au mandataire de prouver qu'aucune faute ne lui est imputable (" à moins qu'il ne prouve... ") (arrêts 4A_148/2022 précité consid. 3.1; 4A_445/2021 précité consid. 4.1; 4A_187/2021 précité consid. 3.1.1; 4A_2/2020 précité consid. 3.1).</w:t>
      </w:r>
    </w:p>
    <w:p>
      <w:r>
        <w:rPr>
          <w:b/>
        </w:rPr>
        <w:t>E. 3.1.2</w:t>
      </w:r>
    </w:p>
    <w:p>
      <w:r>
        <w:t>En ce qui concerne le rapport de causalité, il y a causalité naturelle entre deux événements lorsque, sans le premier, le second ne se serait pas produit (arrêts 4A_624/2021 du 8 avril 2022 consid. 3.2; 4A_133/2021 du 26 octobre 2021 consid. 9.1.1; 4A_350/2019 précité consid. 3.2; 4A_175/2018 du 19 novembre 2018 consid. 4.1.2).</w:t>
      </w:r>
    </w:p>
    <w:p>
      <w:r>
        <w:t>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 ATF 122 III 229 consid. 5a/aa; arrêts 4A_624/2021 précité consid. 3.2; 4A_133/2021 précité consid. 9.1.3; 4A_350/2019 précité consid. 3.2.2; 4A_175/2018 précité consid. 4.1.2).</w:t>
      </w:r>
    </w:p>
    <w:p>
      <w:r>
        <w:t>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 ATF 132 III 715 consid. 3.2; 115 II 440 consid. 5a; arrêts 4A_624/2021 précité consid. 3.2; 4A_133/2021 précité consid. 9.1.3).</w:t>
      </w:r>
    </w:p>
    <w:p>
      <w:r>
        <w:t>En règle générale, lorsque le lien de causalité hypothétique entre l'omission et le dommage est établi, il ne se justifie pas de soumettre cette constatation à un nouvel examen sur la nature adéquate de la causalité ( ATF 115 II 440 consid. 5a).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pour autant qu'elles ne reposent pas exclusivement sur une règle d'expérience, mais sur l'appréciation des faits concrets ( ATF 132 III 305 consid. 3.5 et les références citées; arrêts 4A_624/2021 précité consid. 3.2; 4A_133/2021 précité consid. 9.1.3; 4A_350/2019 précité consid. 3.2.2; 4A_175/2018 précité consid. 4.1.2).</w:t>
      </w:r>
    </w:p>
    <w:p>
      <w:r>
        <w:rPr>
          <w:b/>
        </w:rPr>
        <w:t>E. 3.1.3</w:t>
      </w:r>
    </w:p>
    <w:p>
      <w:r>
        <w:t>L' art. 8 CC règle la répartition du fardeau de la preuve et détermine quelle partie doit assumer les conséquences de l'échec de la preuve.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arrêts 4A_226/2022 du 27 septembre 2022 consid. 3.1.1; 4A_378/2021 du 12 octobre 2021 consid. 4.1 et les références citées).</w:t>
      </w:r>
    </w:p>
    <w:p>
      <w:r>
        <w:rPr>
          <w:b/>
        </w:rPr>
        <w:t>E. 3.2</w:t>
      </w:r>
    </w:p>
    <w:p>
      <w:r>
        <w:t>À l'instar du tribunal, la cour cantonale a retenu, sur la base des faits allégués, l'existence d'un lien de causalité hypothétique entre la violation contractuelle fautive de la société de courtage et la survenance du dommage. En substance, elle a considéré que, si la société de courtage n'avait pas violé ses obligations, la société fiduciaire aurait entrepris des démarches pour faire assurer le véhicule en Suisse ou, en cas d'impossibilité, en aurait informé le client, ce qui aurait eu pour conséquence, selon l'expérience générale de la vie, d'amener le client à assurer son véhicule ailleurs - celui-ci pouvant alors choisir de modifier ou de renoncer au montage fiduciaire pour bénéficier d'une couverture d'assurance, cas échéant en Belgique -, ce qui aurait évité la survenance du dommage. Elle a précisé qu'au vu de la situation, il ne saurait être retenu, sous l'angle de la vraisemblance prépondérante, que le véhicule n'aurait pu être assuré et que la question de savoir s'il existait une solution de remplacement qui aurait également permis d'atteindre l'" objectif d'optimisation fiscale poursuivi " n'était pas déterminante, puisque le client aurait précisément pu décider de revoir ses objectifs fiscaux afin de pouvoir assurer le véhicule.</w:t>
      </w:r>
    </w:p>
    <w:p>
      <w:r>
        <w:rPr>
          <w:b/>
        </w:rPr>
        <w:t>E. 3.3</w:t>
      </w:r>
    </w:p>
    <w:p>
      <w:r>
        <w:t>La recourante soulève deux griefs, l'un principal et l'autre subsidiaire.</w:t>
      </w:r>
    </w:p>
    <w:p>
      <w:r>
        <w:rPr>
          <w:b/>
        </w:rPr>
        <w:t>E. 3.3.1</w:t>
      </w:r>
    </w:p>
    <w:p>
      <w:r>
        <w:t>Invoquant pêle-mêle la violation des art. 398 et/ou 97 CO, et/ou de l' art. 8 CC et/ou de l' art. 55 CPC et/ou de l' art. 221 CPC , la recourante soutient, principalement, que la société fiduciaire aurait dû alléguer les faits à l'origine de la causalité hypothétique, en particulier qu'il existait une solution de remplacement (possibilité d'assurer le véhicule auprès d'un autre assureur en Suisse, possibilité d'assurer le véhicule en Belgique, renonciation au montage fiduciaire ou modification de celui-ci en vue d'assurer le véhicule). Selon elle, la cour cantonale ne pouvait apprécier les preuves selon son expérience générale de la vie sans que le fait lui-même ait été allégué au préalable, soit qu'elle aurait entrepris des démarches pour faire assurer le véhicule et quelles démarches elle aurait entreprises.</w:t>
      </w:r>
    </w:p>
    <w:p>
      <w:r>
        <w:t>Cette argumentation ne peut être suivie. Pour satisfaire à l'exigence d'allégation, il suffit d'alléguer les éléments de fait correspondant aux faits constitutifs (conditions) de la règle de droit applicable. En l'occurrence, il suffisait à la demanderesse d'alléguer que, si la société de courtage n'avait pas violé ses obligations, elle n'aurait pas subi de dommage, ce dont tout un chacun peut déduire que son véhicule aurait été assuré ou qu'elle aurait choisi une autre solution. Les différentes hypothèses que la cour cantonale a tirées sur ce point de la situation concrète, en faisant appel à son expérience générale de la vie, n'avaient pas à être alléguées spécialement. En particulier, la demanderesse n'avait besoin ni d'alléguer ni de prouver quelles solutions de remplacement se seraient présentées à elle et laquelle elle aurait choisie. Le grief de violation de l' art. 55 CPC est donc infondé. Quant aux autres dispositions invoquées, elles ne sont pas pertinentes à l'appui du reproche formulé.</w:t>
      </w:r>
    </w:p>
    <w:p>
      <w:r>
        <w:rPr>
          <w:b/>
        </w:rPr>
        <w:t>E. 3.3.2</w:t>
      </w:r>
    </w:p>
    <w:p>
      <w:r>
        <w:t>Subsidiairement, se prévalant de la violation des art. 398 et/ou 97 CO et/ou de l' art. 8 CC , la recourante reproche à la cour cantonale, d'une part, de ne pas avoir examiné si, selon l'expérience générale de la vie et sous l'angle de la vraisemblance prépondérante, le véhicule aurait pu être valablement assuré ailleurs et, d'autre part, d'avoir adopté un raisonnement hypothétique " pas convaincant sous l'angle de la vraisemblance prépondérante ", dans la mesure où il serait " (nettement) plus vraisemblable " que le véhicule n'aurait pas pu être valablement assuré en Suisse ou ailleurs dans le cadre du montage fiduciaire et que le client n'aurait de toute façon pas renoncé audit montage, de sorte que le dommage serait de toute façon survenu.</w:t>
      </w:r>
    </w:p>
    <w:p>
      <w:r>
        <w:t>Contrairement à ce que soutient la recourante, la cour cantonale a examiné si le véhicule aurait pu être assuré ailleurs, jugeant qu'" il ne saurait être retenu, sous l'angle de la vraisemblance prépondérante, que le véhicule n'aurait pu être assuré ". Pour le reste, dans la mesure où la recourante se contente de prétendre que le raisonnement de la cour cantonale ne serait pas convaincant et où elle ne motive la violation ni de l' art. 8 CC ni de l' art. 9 Cst. , son grief est irrecevable. La recourante perd en outre de vue que la cour cantonale ne s'est pas fondée sur une règle d'expérience, mais qu'elle a procédé, dans les circonstances concrètes, à son appréciation des faits en se fondant sur sa propre expérience générale de la vie. Or, elle n'a pas démontré l'arbitraire de cette appréciation. Il s'ensuit qu'aucune violation des dispositions invoquées ne peut être retenue.</w:t>
      </w:r>
    </w:p>
    <w:p>
      <w:r>
        <w:rPr>
          <w:b/>
        </w:rPr>
        <w:t>E. 3.4</w:t>
      </w:r>
    </w:p>
    <w:p>
      <w:r>
        <w:t>Les griefs de la recourante doivent dès lors être rejetés, dans la mesure de leur recevabilité.</w:t>
      </w:r>
    </w:p>
    <w:p>
      <w:r>
        <w:rPr>
          <w:b/>
        </w:rPr>
        <w:t>E. 4</w:t>
      </w:r>
    </w:p>
    <w:p>
      <w:r>
        <w:t>Au vu de ce qui précède, le recours doit être rejeté, dans la mesure où il est 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