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4A_244/2007 vom 22. Januar 2008</w:t>
      </w:r>
    </w:p>
    <w:p>
      <w:r>
        <w:t>Bundesgericht, 2008-01-22, DE</w:t>
      </w:r>
    </w:p>
    <w:p>
      <w:r>
        <w:rPr>
          <w:b/>
        </w:rPr>
        <w:t xml:space="preserve">Quelle: </w:t>
      </w:r>
      <w:r>
        <w:t>https://mcp.opencaselaw.ch/entscheid/bger_4A_244_2007</w:t>
      </w:r>
    </w:p>
    <w:p>
      <w:r>
        <w:t>FR: TF 4A_244/2007 du 22 janvier 2008</w:t>
      </w:r>
    </w:p>
    <w:p>
      <w:r>
        <w:t>IT: TF 4A_244/2007 del 22 gennaio 2008</w:t>
      </w:r>
    </w:p>
    <w:p>
      <w:pPr>
        <w:pStyle w:val="Heading2"/>
      </w:pPr>
      <w:r>
        <w:t>Erwägungen</w:t>
      </w:r>
    </w:p>
    <w:p>
      <w:r>
        <w:rPr>
          <w:b/>
        </w:rPr>
        <w:t>E. 1</w:t>
      </w:r>
    </w:p>
    <w:p>
      <w:r>
        <w:t>Der angefochtene Entscheid ist in englischer Sprache ergangen. Die Parteien bedienen sich im Verfahren vor Bundesgericht der deutschen Sprache. Nach Art. 54 BGG ist der Entscheid in der Amtssprache Deutsch zu begründen.</w:t>
      </w:r>
    </w:p>
    <w:p>
      <w:r>
        <w:rPr>
          <w:b/>
        </w:rPr>
        <w:t>E. 2</w:t>
      </w:r>
    </w:p>
    <w:p>
      <w:r>
        <w:t>Zu den Verfahrensanträgen der Beschwerdeführerinnen ist zu bemerken, dass die Akten des Schiedsgerichts soweit erforderlich beigezogen wurden. Nach Art. 102 Abs. 3 BGG findet ein weiterer Schriftenwechsel in der Regel nicht statt. Es besteht kein Anlass, hier anders zu verfahren, zumal die Beschwerdeführerinnen ihren Antrag gestellt haben, ohne dass sie die Antwort der Beschwerdegegnerin kannten. Da sie aufgrund der Zustellung der Vernehmlassung nicht von sich aus reagiert haben, ist der Verfahrensantrag ohne weiteres abzuweisen ( BGE 133 I 98 E. 2.3 S. 100). Die Anonymisierung der Parteien ist im Übrigen die Regel bei der Veröffentlichung der Urteile, soweit wie hier die Kenntnis der Namen für die Verständlichkeit der Tragweite des Urteils nicht erforderlich ist ( Art. 27 Abs. 2 BGG ).</w:t>
      </w:r>
    </w:p>
    <w:p>
      <w:r>
        <w:rPr>
          <w:b/>
        </w:rPr>
        <w:t>E. 3</w:t>
      </w:r>
    </w:p>
    <w:p>
      <w:r>
        <w:t>Nach Art. 77 Abs. 2 BGG ist Art. 107 Abs. 2 BGG , soweit dieser dem Bundesgericht erlaubt, in der Sache selbst zu entscheiden, in Beschwerdefällen gegen Entscheide von internationalen Schiedsgerichten nicht anwendbar. Das Bundesgericht hat sich daher wie unter altem Recht mit der Aufhebung des angefochtenen Entscheides zu begnügen und kann gegebenenfalls die Sache zu neuem Entscheid an das Schiedsgericht zurückweisen. Die Anträge der Beschwerdegegnerin sind aus diesem Grund insoweit unzulässig, als sie damit vom Bundesgericht einen materiellen Entscheid bzw. eine konkrete Anweisung an das Schiedsgericht über die zu treffende Entscheidung begehrt. Die Beschwerdegegnerin verkennt im Übrigen die Tragweite der in der Beschwerde gestellten Begehren. Denn die Beschwerdeführerinnen bestreiten einerseits die Zuständigkeit des Schiedsgerichts und rügen anderseits Verfahrensfehler. Wenn sie mit dieser Begründung die - vollständige - Aufhebung des angefochtenen Entscheides verlangen, kann daraus ein Antrag auf teilweise Aufhebung des Schiedsurteils nicht abgeleitet werden; insbesondere nicht insoweit, als die Begehren der Beschwerdeführerinnen vom Schiedsgericht gutgeheissen wurden. Die Anträge der Beschwerdegegnerin sind abzuweisen, soweit mehr verlangt wird als die Abweisung der Beschwerde.</w:t>
      </w:r>
    </w:p>
    <w:p>
      <w:r>
        <w:rPr>
          <w:b/>
        </w:rPr>
        <w:t>E. 4</w:t>
      </w:r>
    </w:p>
    <w:p>
      <w:r>
        <w:t>Nach Art. 77 Abs. 1 BGG ist die Beschwerde in Zivilsachen unter den Voraussetzungen der Art. 190-192 IPRG gegen Entscheide von Schiedsgerichten zulässig.</w:t>
      </w:r>
    </w:p>
    <w:p>
      <w:r>
        <w:rPr>
          <w:b/>
        </w:rPr>
        <w:t>E. 4.1</w:t>
      </w:r>
    </w:p>
    <w:p>
      <w:r>
        <w:t>Der Sitz des Schiedsgerichts ist Zürich. Keine der Parteien hat ihren Sitz in der Schweiz und diese haben auch die Anwendung des 12. Kapitels des IPRG über die internationale Schiedsgerichtsbarkeit nicht ausgeschlossen ( Art. 176 IPRG ).</w:t>
      </w:r>
    </w:p>
    <w:p>
      <w:r>
        <w:rPr>
          <w:b/>
        </w:rPr>
        <w:t>E. 4.2</w:t>
      </w:r>
    </w:p>
    <w:p>
      <w:r>
        <w:t>Gemäss Art. 190 IPRG kann der Entscheid nur aus bestimmten Gründen angefochten werden. Zulässig sind allein die Rügen, die in Art. 190 Abs. 2 IPRG abschliessend aufgezählt sind ( BGE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(vgl. dazu BGE 133 II 249 E. 1.4.2 S. 254). Dabei gelten nach wie vor die strengen Begründungsanforderungen, die das Bundesgericht unter der Herrschaft von Art. 90 Abs. 1 lit. b aOG stellte (vgl. BGE 128 III 50 E. 1c S. 53), da das BGG insofern keine Änderungen vornehmen wollte (Klett, Basler Kommentar zum BGG, N. 8 zu Art. 77 BGG ).</w:t>
      </w:r>
    </w:p>
    <w:p>
      <w:r>
        <w:rPr>
          <w:b/>
        </w:rPr>
        <w:t>E. 5</w:t>
      </w:r>
    </w:p>
    <w:p>
      <w:r>
        <w:t>Die Beschwerdeführerinnen rügen, das Schiedsgericht habe sich zu Unrecht für zuständig erklärt. Diese Rüge ist nach Art. 190 Abs. 2 lit. b IPRG zulässig.</w:t>
      </w:r>
    </w:p>
    <w:p>
      <w:r>
        <w:rPr>
          <w:b/>
        </w:rPr>
        <w:t>E. 5.1</w:t>
      </w:r>
    </w:p>
    <w:p>
      <w:r>
        <w:t>Die Frage der Zuständigkeit des Schiedsgerichts umfasst auch diejenige nach der subjektiven Tragweite der Schiedsvereinbarung. Ob alle Prozessparteien daran gebunden sind, ist eine Frage ihrer Parteifähigkeit im Schiedsgerichtsverfahren und damit eine Sachurteils- bzw. Eintretensvoraussetzung ( BGE 128 III 50 E. 2b/aa S. 54). Das Schiedsgericht hat im Rahmen der Prüfung seiner Zuständigkeit abzuklären, welche Personen durch die Schiedsabrede gebunden sind ( BGE 128 III 50 E. 2b/aa S. 54; 117 II 94 E. 5b S. 98; vgl. auch BGE 120 II 155 E. 3b/bb S. 163 f.). Das Bundesgericht prüft die Zuständigkeitsrüge nach Art. 190 Abs. 2 lit. b IPRG in rechtlicher Hinsicht frei. Die tatsächlichen Feststellungen des angefochtenen Schiedsentscheids überprüft es hingegen auch im Rahmen der Zuständigkeitsrüge nur, wenn gegenüber diesen Sachverhaltsfeststellungen zulässige Rügen im Sinne von Art. 190 Abs. 2 IPRG vorgebracht oder ausnahmsweise gemäss Art. 99 BGG Noven berücksichtigt werden können ( BGE 129 III 727 E. 5.2.2 S. 733 mit Hinweisen).</w:t>
      </w:r>
    </w:p>
    <w:p>
      <w:r>
        <w:rPr>
          <w:b/>
        </w:rPr>
        <w:t>E. 5.2</w:t>
      </w:r>
    </w:p>
    <w:p>
      <w:r>
        <w:t>Das Schiedsgericht hat im angefochtenen Teilentscheid dargelegt, dass die Beschwerdegegnerin vor dem Management Buy Out vom November 2006 als Tochtergesellschaft der F.G.________ Corp. Vertragspartei und damit auch im Sinne von Art. 19 PDA an die Schiedsklausel gebunden war. Nach den Erwägungen des Schiedsgerichts kann der Vertrag vernünftigerweise nicht so ausgelegt werden, dass die Beschwerdegegnerin ihre Stellung als Partei des PDA und der Schiedsklausel rückwirkend verlieren solle, wenn sie wegen des Management Buy Out aus dem F.________-Konzern ausscheide, zumal sich praktisch alle erheblichen Tatsachen in Bezug auf das strittige Projekt vor diesem Management Buy Out zugetragen hatten. Der übereinstimmende Parteiwille ist danach nicht gewesen, dass eine der am PDA beteiligten Parteien durch eine Veränderung des Kreises ihrer Gesellschafter ihre Rechte aus dem Vertrag verloren und sich von ihren vertraglichen Verpflichtungen hätte befreien können. Die weite Definition der Parteien im PDA habe vielmehr beiden Seiten die Möglichkeit eröffnet, Rechte aus diesem Vertrag bei einer oder mehreren Konzerngesellschaften zu konzentrieren. Das im Rahmen des Management Buy Out abgeschlossene "Allocation and Assignment Agreement", mit dem der Beschwerdegegnerin die Rechte aus dem PDA übertragen würden, bestätige insofern eine interne Konzentration bestimmter Rechte bei der Beschwerdegegnerin, ohne dass eine Abtretung im Rechtssinne erfolgt sei. Auch sei ein Management Buy Out eine relativ häufige Erscheinung und insofern durchaus mit den Bestimmungen des PDA vereinbar. Einen rückwirkenden Verlust der Stellung der Beschwerdegegnerin im PDA sah das Schiedsgericht zudem ausgeschlossen durch die Definition der Tochtergesellschaften, wonach unter dem in diesem Zusammenhang verwendeten Begriff "Kontrolle" eine Beteiligung der Muttergesellschaft von mindestens 50 %, solange eine solche bestehe, zu verstehen sei. Auch widerspräche die Übertragung der Rechte aus dem PDA an die Beschwerdegegnerin dem Verbot der Abtretung in Art. 24 PDA selbst dann nicht, wenn es sich um eine Abtretung im Rechtssinne handeln würde, da Art. 24 PDA nur die Übertragung an vertragsfremde Dritte verhindern wolle. Schliesslich seien die rechtlichen Positionen und Interessen der Beschwerdeführerinnen nicht betroffen, da die Beschwerdegegnerin ihre vertraglichen Pflichten nach dem PDA nie bestritten habe, die Beschwerdeführerinnen auch die Möglichkeit gehabt aber nicht wahrgenommen hätten, die Beteiligung am Vertrag anders zu regeln, und tatsächlich nichts dafür spreche, dass die Beschwerdeführerinnen von weiteren Parteien des F.________-Konzerns eingeklagt würden.</w:t>
      </w:r>
    </w:p>
    <w:p>
      <w:r>
        <w:rPr>
          <w:b/>
        </w:rPr>
        <w:t>E. 5.3</w:t>
      </w:r>
    </w:p>
    <w:p>
      <w:r>
        <w:t>Die Beschwerdeführerinnen stellen nicht in Frage, dass die Beschwerdegegnerin im Zeitpunkt des Abschlusses des PDA eine Tochtergesellschaft der F.G.________ Corp. und damit als Vertragspartei aufgeführt war. Sie bringen vor, im PDA werde klar zum Ausdruck gebracht, dass Vertragsparteien die beiden Muttergesellschaften der jeweiligen Gesellschaftsgruppen sein sollten, indem insbesondere allein deren Namen mit vollständiger Adresse aufgeführt, die Namen der Tochtergesellschaften aber nicht erwähnt würden, sondern diese als durch eine "Partei" kontrollierte Gesellschaft definiert seien. Die Bezeichnung der jeweiligen Konzerngesellschaften als Parteien hatte nach den Vorbringen der Beschwerdeführerinnen nur zum Zweck, Diskussionen über deren Kompetenz im Rahmen der Vertragsabwicklung zu vermeiden. Die Beschwerdeführerinnen betonen, dass für die Beschwerdeführerin 1 von Anfang an nur die Muttergesellschaft der Beschwerdegegnerin als Vertragspartnerin in Frage gekommen sei. Sie vertreten die Ansicht, es lasse sich weder mit dem Wortlaut des Vertrages noch mit dem Verständnis der vertragsschliessenden Parteien vereinbaren, dass eine Tochtergesellschaft die grundlegenden Rechte aus einem Vertrag der Muttergesellschaft übernehmen könne. Sie verweisen auf ihre Vorbringen und Beweise vor dem Schiedsgericht zur Unterstützung ihrer Behauptung, dass nicht die Beschwerdegegnerin, sondern deren Muttergesellschaft die Oberleitung des vertraglichen Projektes hatte. Sie bringen schliesslich vor, die Muttergesellschaft der Beschwerdegegnerin habe ihrer Tochter nicht nach Belieben vertragliche Rechte gegenüber den Beschwerdeführerinnen bzw. der Beschwerdeführerin 1 übertragen können und das Abtretungsverbot in Art. 24 PDA beziehe sich entgegen der Auslegung des Schiedsgerichts auch auf die Abtretung vertraglicher Rechte auf die Tochtergesellschaften eines der am Vertrag beteiligten Konzerne.</w:t>
      </w:r>
    </w:p>
    <w:p>
      <w:r>
        <w:rPr>
          <w:b/>
        </w:rPr>
        <w:t>E. 5.4</w:t>
      </w:r>
    </w:p>
    <w:p>
      <w:r>
        <w:t>Die Auslegung einer Schiedsvereinbarung folgt den für die Auslegung privater Willenserklärungen allgemein geltenden Grundsätzen. Massgebend ist in erster Linie das übereinstimmende tatsächliche Verständnis der Parteien zu den ausgetauschten Erklärungen. Kann ein solcher tatsächlicher Parteiwille nicht festgestellt werden, ist die Schiedsvereinbarung objektiviert auszulegen, d.h. der mutmassliche Parteiwille so zu ermitteln, wie er vom jeweiligen Erklärungsempfänger nach Treu und Glauben verstanden werden durfte und musste ( BGE 130 III 66 E. 3.2 S. 71 mit Verweisen). Soweit das Schiedsgericht den tatsächlich übereinstimmenden Parteiwillen festgestellt hat, ist diese Feststellung mangels zulässiger Rügen der Beschwerdeführerinnen (vgl. E. 5.1) nicht zu überprüfen. Insofern erscheint nicht ausgeschlossen, dass das Schiedsgericht den tatsächlichen Parteiwillen festgestellt hat, indem es insbesondere berücksichtigte, dass die Beschwerdeführerinnen die Möglichkeit gehabt hätten, die Beteiligung am Vertrag anders zu regeln, dass sie diese Möglichkeit jedoch nicht wahrgenommen hatten. Wie es sich damit verhält, kann aber dahingestellt bleiben, da jedenfalls die Auslegung der Schiedsklausel durch das Schiedsgericht nach dem Vertrauensgrundsatz zum selben Resultat führt und nicht zu beanstanden ist. Denn es ist davon auszugehen, dass die Tochtergesellschaften der namentlich aufgeführten F.G.________ Corp. ausdrücklich als Parteien des Vertrages bezeichnet werden und daher auch Parteien der Schiedsklausel im Sinne von Art. 19 PDA sind. Die Beschwerdegegnerin als Tochtergesellschaft der F.G.________ Corp. war daher auch Partei im Sinne von Art. 19 PDA, sofern nicht besondere Gründe entgegenstehen. Derartige Gründe vermögen die Beschwerdeführerinnen nicht zu benennen. Sie bringen vor, Vertragsparteien seien entgegen dem Wortlaut des PDA nur die jeweiligen Muttergesellschaften der beteiligten Konzerne gewesen. Soweit sie sich dafür auf Umstände berufen, die im angefochtenen Entscheid nicht festgestellt sind oder diesen gar widersprechen, sind sie nicht zu hören. Es ist sodann nicht nachvollziehbar, weshalb die Erfüllung bestimmter Aufgaben für das vertraglich vereinbarte Projekt durch einzelne Gesellschaften der beteiligten Konzerne deren Einbezug als Parteien in den Vertrag erfordert hätte, wie die Beschwerdeführerinnen geltend machen. Wenn die vertraglichen Rechte und Pflichten ausschliesslich den jeweiligen Muttergesellschaften hätten vorbehalten werden sollen, wäre jedenfalls naheliegender gewesen, eine entsprechende Delegationsmöglichkeit vertraglich vorzusehen. Die ausdrückliche Beteiligung sämtlicher Gesellschaften der beiden Konzerne als Parteien des Vertrages und damit auch der Schiedsklausel gemäss Art. 19 PDA kann ohne klare gegenteilige Umstände mit dem Schiedsgericht nur so verstanden werden, dass beiden Seiten die Möglichkeit eröffnet werden sollte, Rechte und Pflichten aus diesem Vertrag bei einer oder mehreren Konzerngesellschaften zu konzentrieren.</w:t>
      </w:r>
    </w:p>
    <w:p>
      <w:r>
        <w:rPr>
          <w:b/>
        </w:rPr>
        <w:t>E. 5.5</w:t>
      </w:r>
    </w:p>
    <w:p>
      <w:r>
        <w:t>Das Schiedsgericht hat seine Zuständigkeit zur Behandlung der Klage der Beschwerdegegnerin gestützt auf Art. 19 PDA zutreffend bejaht. Die Rüge der Verletzung von Art. 190 Abs. 2 lit. b IPRG ist unbegründet.</w:t>
      </w:r>
    </w:p>
    <w:p>
      <w:r>
        <w:rPr>
          <w:b/>
        </w:rPr>
        <w:t>E. 6</w:t>
      </w:r>
    </w:p>
    <w:p>
      <w:r>
        <w:t>Nach Art. 190 Abs. 2 lit. d IPRG kann der Entscheid angefochten werden, wenn der Grundsatz der Gleichbehandlung der Parteien oder der Grundsatz des rechtlichen Gehörs verletzt wurde.</w:t>
      </w:r>
    </w:p>
    <w:p>
      <w:r>
        <w:rPr>
          <w:b/>
        </w:rPr>
        <w:t>E. 6.1</w:t>
      </w:r>
    </w:p>
    <w:p>
      <w:r>
        <w:t>Die Beschwerdeführerinnen rügen, es sei ihnen das rechtliche Gehör verweigert worden, indem das Schiedsgericht ihren Antrag nicht beurteilt habe, das Verhalten der Beschwerdegegnerin - welche Klagebegründung und Widerklageantwort je einen Tag zu spät eingereicht habe - sei zu sanktionieren und die Eingaben seien aus dem Recht zu weisen. Sie halten dafür, sie seien ungleich behandelt worden, weil sie sich an die Frist gehalten und daher weniger Zeit zur Verfügung gehabt hätten.</w:t>
      </w:r>
    </w:p>
    <w:p>
      <w:r>
        <w:rPr>
          <w:b/>
        </w:rPr>
        <w:t>E. 6.2</w:t>
      </w:r>
    </w:p>
    <w:p>
      <w:r>
        <w:t>Der Anspruch auf rechtliches Gehör im Rahmen eines internationalen Schiedsverfahrens entspricht im Wesentlichen den aus Art. 29 Abs. 2 BV hergeleiteten Verfahrensgarantien. Er umfasst insbesondere die Rechte der Parteien auf Teilnahme am Verfahren und auf Einflussnahme auf den Prozess der Entscheidfindung ( BGE 127 III 576 E. 2c S. 578 mit Hinweisen). Die Rechtsprechung leitet daraus das Recht der Parteien ab, sich über alle für das Urteil wesentlichen Tatsachen zu äussern, ihren Rechtsstandpunkt zu vertreten, erhebliche Beweisanträge zu stellen, an den Verhandlungen teilzunehmen, sowie das Recht, in die Akten Einsicht zu nehmen ( BGE 130 III 35 E. 5 S. 38; 127 III 576 E. 2c S. 578 f., je mit Hinweisen). Eine formelle Rechtsverweigerung im Sinne der Gehörsverweigerung liegt vor, wenn eine Partei ihren Standpunkt nicht in das Verfahren einbringen konnte, so dass das Gericht ihn bei der Entscheidfindung nicht beachtete und damit die Partei im Verfahren benachteiligt wurde ( BGE 127 III 576 E. 2e S. 579 mit Hinweis). Der Grundsatz der Gleichbehandlung der Parteien verlangt vom Schiedsgericht zudem insbesondere, die Parteien grundsätzlich in allen Verfahrensfragen gleich zu behandeln (Vischer, Zürcher Kommentar zum IPRG, 2. Aufl. 2004, N. 25 zu Art. 182 IPRG ; Dutoit, Droit international privé suisse: Commentaire de la loi fédérale du 18 décembre 1987, 3. Aufl. 2001, N. 6 zu Art. 182 IPRG ).</w:t>
      </w:r>
    </w:p>
    <w:p>
      <w:r>
        <w:rPr>
          <w:b/>
        </w:rPr>
        <w:t>E. 6.3</w:t>
      </w:r>
    </w:p>
    <w:p>
      <w:r>
        <w:t>Die Beschwerdeführerinnen sehen eine Verletzung von Art. 190 Abs. 2 lit. d IPRG darin, dass das Schiedsgericht zwei Rechtsschriften der Beschwerdegegnerin nicht aus dem Recht wies, die diese je einen Tag verspätet dem Schiedsgericht eingereicht hatte. Der Beschwerde ist allerdings nicht zu entnehmen, dass die Parteien in der von ihnen vereinbarten Verfahrensregelung (Terms of Reference) die Rechtsfolge vorgesehen hätten, dass die Nichteinhaltung von Fristen zur Nichtberücksichtigung der entsprechenden Eingaben durch das Schiedsgericht führen müsse. Ist aber die von den Beschwerdeführerinnen befürwortete Rechtsfolge nicht vorgesehen, so ist nicht erkennbar, inwiefern das Schiedsgericht die Parteien im Sinne von Art. 190 Abs. 2 lit. d IPRG ungleich behandelt haben könnte, wenn es dem entsprechenden Antrag der Beschwerdeführerinnen nicht statt gab. Denn dass die Beschwerdeführerinnen selbst ebenfalls Fristen nicht eingehalten hätten und das Schiedsgericht in dieser Situation die von ihnen als Sanktion befürworteten verfahrensrechtlichen Massnahmen ihnen gegenüber tatsächlich ergriffen hätten, bringen sie nicht vor. Dass sie sich selbst ihrerseits an die vereinbarten Fristen gehalten haben, vermag jedenfalls eine Ungleichbehandlung der Parteien durch das Schiedsgericht nicht auszuweisen. Die Rüge der Verletzung des Gleichbehandlungsgebots ist unbegründet.</w:t>
      </w:r>
    </w:p>
    <w:p>
      <w:r>
        <w:rPr>
          <w:b/>
        </w:rPr>
        <w:t>E. 6.4</w:t>
      </w:r>
    </w:p>
    <w:p>
      <w:r>
        <w:t>Aus dem Grundsatz des rechtlichen Gehörs im Sinne von Art. 190 Abs. 2 lit. d IPRG ergibt sich sodann nach ständiger Rechtsprechung kein Anspruch auf Begründung des Entscheids ( BGE 133 III 235 E. 5.2 S. 248 mit Hinweisen). Daran hat sich unter der Geltung von Art. 77 BGG nichts geändert. Denn danach ist die Beschwerde in Zivilsachen gegen Entscheide von Schiedsgerichten unter den Voraussetzungen der Art. 190-192 IPRG zulässig. Während sich die Anforderungen für kantonale Entscheide, die der Beschwerde unterliegen, nach Art. 112 BGG richten, werden Schiedsentscheide im Sinne von Art. 190 IPRG in Art. 189 IPRG geregelt. Sie ergehen danach im Verfahren und in der Form, welche die Parteien vereinbart haben (Abs. 1), eventuell sind sie schriftlich abzufassen, zu begründen, zu datieren und zu unterzeichnen (Abs. 2). Aus der Möglichkeit des Verzichts auf die Begründung des Entscheids hat aber die Rechtsprechung trotz gewisser Kritik in der Lehre abgeleitet, dass dieser Anspruch nicht zu den unverzichtbaren Grundsätzen des rechtlichen Gehörs im Sinne von Art. 182 Abs. 3 IPRG gehört, deren Verletzung nach Art. 190 Abs. 2 lit. d IPRG gerügt werden kann (kritisch Heini, Zürcher Kommentar, a.a.O., N. 33 zu Art. 190 IPRG und N. 13 zu Art. 189 IPRG ; Berti/Schnyder, Basler Kommentar zum IPRG, 2. Aufl. 2007, N. 65 zu Art. 190 IPRG ; zustimmend dagegen Dutoit, a.a.O., N. 6 zu Art. 182 IPRG ). Dass daher das Schiedsgericht zum Antrag der Beschwerdeführerinnen, wonach das Verhalten der Beschwerdegegnerin verfahrensrechtlich zu sanktionieren sei, nicht ausdrücklich Stellung genommen hat, verletzt ihren Anspruch auf rechtliches Gehör nicht. Denn das Schiedsgericht hat die entsprechenden Eingaben der Beschwerdegegnerin in seinem Entscheid berücksichtigt, wie die Beschwerdeführerinnen selbst darlegen, und damit den Antrag sinngemäss abgelehnt. Einer ausdrücklichen Begründung bedurfte die Ablehnung des Antrags der Beschwerdeführerinnen durch das Schiedsgericht nicht. Die Rüge der Verletzung von Art. 190 Abs. 2 lit. d IPRG ist unbegründet.</w:t>
      </w:r>
    </w:p>
    <w:p>
      <w:r>
        <w:rPr>
          <w:b/>
        </w:rPr>
        <w:t>E. 7</w:t>
      </w:r>
    </w:p>
    <w:p>
      <w:r>
        <w:t>Die Beschwerde ist abzuweisen. Allerdings obsiegt auch die Beschwerdegegnerin mit ihren Anträgen nicht vollständig, was bei der Verlegung der Kosten zu berücksichtigen ist ( Art. 66 Abs. 1 und Art. 68 Abs. 2 BGG ). Der Antrag der Beschwerdegegnerin, mit dem sie unterlegen ist, bezieht sich auf die vom Schiedsgericht gutgeheissene Widerklage-Forderung der Beschwerdeführerinnen von EUR 2'312'826.99. Es rechtfertigt sich aus diesem Grund, der Beschwerdegegnerin einen Fünftel der Gerichtskosten zu auferlegen und ihr nur eine reduzierte Parteientschädigung von 3/5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