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4A_243/2012 vom 5. Oktober 2012</w:t>
      </w:r>
    </w:p>
    <w:p>
      <w:r>
        <w:t>Bundesgericht, 2012-10-05, IT</w:t>
      </w:r>
    </w:p>
    <w:p>
      <w:r>
        <w:rPr>
          <w:b/>
        </w:rPr>
        <w:t xml:space="preserve">Quelle: </w:t>
      </w:r>
      <w:r>
        <w:t>https://mcp.opencaselaw.ch/entscheid/bger_4A_243_2012</w:t>
      </w:r>
    </w:p>
    <w:p>
      <w:r>
        <w:t>FR: TF 4A_243/2012 du 5 octobre 2012</w:t>
      </w:r>
    </w:p>
    <w:p>
      <w:r>
        <w:t>IT: TF 4A_243/2012 del 5 ottobre 2012</w:t>
      </w:r>
    </w:p>
    <w:p>
      <w:pPr>
        <w:pStyle w:val="Heading2"/>
      </w:pPr>
      <w:r>
        <w:t>Erwägungen</w:t>
      </w:r>
    </w:p>
    <w:p>
      <w:r>
        <w:rPr>
          <w:b/>
        </w:rPr>
        <w:t>E. 1</w:t>
      </w:r>
    </w:p>
    <w:p>
      <w:r>
        <w:t>Il ricorso è presentato dalla parte soccombente nella sede cantonale ( art. 76 cpv. 1 lett. a LTF ), è tempestivo ( art. 46 cpv. 1 lett. a e art. 100 cpv. 1 LTF combinati) ed è volto contro una sentenza finale ( art. 90 LTF ) emanata su ricorso dall'autorità giudiziaria ticinese di ultima istanza ( art. 75 LTF ) in una causa civile ( art. 72 cpv. 1 LTF ) con un valore litigioso superiore a fr. 30'000.-- ( art. 74 cpv. 1 lett. b LTF ). Sotto questo profilo esso è pertanto ammissibile.</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136 I 65 consid. 1.3.1; 134 II 244 consid. 2.2; 130 I 258 consid. 1.3). Il rinvio agli atti della procedura cantonale non è ammesso ( DTF 133 II 396 consid. 3.2).</w:t>
      </w:r>
    </w:p>
    <w:p>
      <w:r>
        <w:t>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Corte ticinese, dopo avere richiamato brevemente le condizioni di applicazione degli art. 259e e 58 CO , ha costatato che, siccome la perizia giudiziaria non aveva evidenziato né difetti di progettazione e realizzazione né mancanza di manutenzione dell'impianto, il Pretore aveva stabilito che la convenuta aveva fornito la prova liberatoria che esclude la responsabilità contrattuale e che non sono adempiute le condizioni di quella causale. La Corte d'appello ha però soggiunto che le critiche volte contro questa motivazione del giudizio del Pretore sono inammissibili, poiché l'attore, invece di confrontarsi in modo puntuale con essa, come vuole l'art. 309 cpv. 2 lett. f e cpv. 5 CPC/TI, si è limitato a riprodurre ampi stralci delle conclusioni di prima istanza. Ha comunque osservato "a titolo abbondanziale" che tali critiche sono in-concludenti e che l'esistenza di un difetto, sulla quale insisteva l'appellante, è condizione necessaria ma non sufficiente della responsabilità secondo gli art. 58 e 259e CO .</w:t>
      </w:r>
    </w:p>
    <w:p>
      <w:r>
        <w:t>A mente dei giudici ticinesi l'atto di appello non ha nemmeno spiegato per quali ragioni sarebbero errate le conclusioni del Pretore, riprese anch'esse dalla perizia giudiziaria, secondo le quali la manutenzione dell'impianto è stata regolare e conforme alle esigenze.</w:t>
      </w:r>
    </w:p>
    <w:p>
      <w:r>
        <w:rPr>
          <w:b/>
        </w:rPr>
        <w:t>E. 4</w:t>
      </w:r>
    </w:p>
    <w:p>
      <w:r>
        <w:t>Con la prima censura la ricorrente contesta di non avere affrontato tutte le motivazioni della sentenza di primo grado. Asserisce di avere spiegato ai punti 5.1.1 e 5.1.2 dell'atto di appello, "citando puntualmente la perizia", perché la ritenesse errata in merito ai difetti di progettazione e realizzazione; di avere sostenuto al punto 5.1.3 che un impianto che si rompe tre volte in tre anni è sicuramente difettoso, per cui sono date le condizioni della responsabilità secondo gli art. 58 e 259e CO ; e di essersi infine occupata della prova liberatoria ai punti 5.1.4 e 5.1.5.</w:t>
      </w:r>
    </w:p>
    <w:p>
      <w:r>
        <w:rPr>
          <w:b/>
        </w:rPr>
        <w:t>E. 4.1</w:t>
      </w:r>
    </w:p>
    <w:p>
      <w:r>
        <w:t>Un'argomentazione del genere non rispetta le esigenze richieste per la censura d'arbitrio. Il Tribunale di appello ha fondato questa parte del suo giudizio sull'art. 309 cpv. 2 lett. f e cpv. 5 CPC/TI, osservando che da tale norma la giurisprudenza deduce l'onere dell'appellante di riferire le contestazioni d'appello alla motivazione impugnata e di spiegare in modo preciso per quali motivi la ritiene errata o non condivisibile. L'istante doveva perciò dimostrare che la Corte ticinese ha applicato in modo arbitrario questa norma del diritto cantonale, che invece neppure menziona ( art. 106 cpv. 2 LTF ; cfr. sopra consid. 2).</w:t>
      </w:r>
    </w:p>
    <w:p>
      <w:r>
        <w:t>L'arbitrio potrebbe invero consistere anche nell'accertamento manifestamente inesatto dei fatti, in particolare dei fatti procedurali, ovvero delle costatazioni riguardanti le allegazioni proposte in sede di appello. La contestazione di tali fatti sottostà tuttavia alle regole usuali concernenti l'onere accresciuto di motivare, per cui l'istante doveva dimostrare anche sotto questo profilo l'arbitrarietà del giudizio cantonale ( art. 105 cpv. 2 LTF ; sentenza 4A_436/2010 del 12 novembre 2010 consid. 3.2; cfr. sopra consid. 2). Si accontenta invece di riassumere in poche frasi il contenuto del proprio atto di appello e di concludere - con toni peraltro irriverenti - che i giudici ticinesi si sono sottratti al loro dovere di esaminare il merito della vertenza con "inutili, spocchiosi - e in questo caso manifestamente infondati - espedienti retorici".</w:t>
      </w:r>
    </w:p>
    <w:p>
      <w:r>
        <w:rPr>
          <w:b/>
        </w:rPr>
        <w:t>E. 5</w:t>
      </w:r>
    </w:p>
    <w:p>
      <w:r>
        <w:t>La Corte cantonale, come detto, ha esaminato per abbondanza anche il merito dell'appello. Secondo la giurisprudenza, qualora una decisione si fondi su due motivazioni alternative e indipendenti, il ricorrente deve confrontarsi con entrambe, sotto pena d'inammissibilità, e il suo gravame può essere accolto soltanto se si avverino fondate le critiche volte contro tutte e due ( DTF 133 IV 119 consid. 6.3 e rif.).</w:t>
      </w:r>
    </w:p>
    <w:p>
      <w:r>
        <w:t>La ricorrente contesta anche la motivazione di merito della sentenza cantonale. Sostiene ch'essa viola il diritto federale, non riconoscendo in sostanza che la rottura del tubo flessibile dopo pochi anni è un "esempio scolastico di difetto", del quale la convenuta deve rispondere in forza degli art. 58 e 259e CO . Non è però necessario affrontare questi temi, in applicazione della suddetta giurisprudenza, dal momento che nel considerando che precede s'è detto che le censure volte contro l'altra motivazione - di carattere formale - non sono ammissibili.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