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4A_242/2025 vom 9. September 2025</w:t>
      </w:r>
    </w:p>
    <w:p>
      <w:r>
        <w:t>Bundesgericht, 2025-09-09, DE</w:t>
      </w:r>
    </w:p>
    <w:p>
      <w:r>
        <w:rPr>
          <w:b/>
        </w:rPr>
        <w:t xml:space="preserve">Quelle: </w:t>
      </w:r>
      <w:r>
        <w:t>https://mcp.opencaselaw.ch/entscheid/bger_4A_242_2025</w:t>
      </w:r>
    </w:p>
    <w:p>
      <w:r>
        <w:t>FR: TF 4A_242/2025 du 9 septembre 2025</w:t>
      </w:r>
    </w:p>
    <w:p>
      <w:r>
        <w:t>IT: TF 4A_242/2025 del 9 settembre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unterlegen ( Art. 76 Abs. 1 BGG ), der Streitwert ist erreicht ( Art. 74 Abs. 1 lit. b BGG ) und die Beschwerdefrist ( Art. 100 Abs. 1 BGG ) ist eingehalten.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ist auf die Berufung nicht eingetreten, da sie den Anforderungen gemäss Art. 311 Abs. 1 ZPO nicht entsprochen habe. Zum einen würden der Berufungsschrift die erforderlichen Anträge in der Sache fehlen. Zum anderen habe sich die Beschwerdeführerin in ihrer Berufungsschrift nicht im Einzelnen mit den erstinstanzlichen Erwägungen auseinandergesetzt. Die Beschwerdeführerin rügt, die Vorinstanz habe gegen das Verbot des überspitzten Formalismus verstossen, indem sie nicht auf die Berufung eingetreten sei.</w:t>
      </w:r>
    </w:p>
    <w:p>
      <w:r>
        <w:rPr>
          <w:b/>
        </w:rPr>
        <w:t>E. 2.1.1</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eine Verwirklichung des materiellen Rechts in unhaltbarer Weise erschwert oder verhindert ( BGE 145 I 201 E. 4.2.1 ; 142 I 10 E. 2.4.2 mit Hinweisen; siehe für das Zivilprozessrecht BGE 140 III 636 E. 3.5 f.).</w:t>
      </w:r>
    </w:p>
    <w:p>
      <w:r>
        <w:rPr>
          <w:b/>
        </w:rPr>
        <w:t>E. 2.1.2</w:t>
      </w:r>
    </w:p>
    <w:p>
      <w:r>
        <w:t>Nach Art. 311 Abs. 1 ZPO muss die Berufung eine Begründung enthalten. Begründen im Sinne der genannten Bestimmung bedeutet aufzeigen, inwiefern der angefochtene Entscheid als fehlerhaft erachtet wird. Dieser Anforderung genügt die Berufungsklägerin nicht, wenn sie lediglich auf die vor erster Instanz vorgetragenen Vorbringen verweist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138 III 374 E. 4.3.1). Sie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Gerichts nicht aufrecht erhalten lassen (Urteile 4A_477/2024 vom 14. Juli 2025 E. 11.3; 4A_520/2024 vom 13. Januar 2025 E. 3.1; 4A_588/2023 vom 11. Juni 2024 E. 4.1.1; 5A_975/2020 vom 22. April 2021 E. 3.5).</w:t>
      </w:r>
    </w:p>
    <w:p>
      <w:r>
        <w:rPr>
          <w:b/>
        </w:rPr>
        <w:t>E. 2.2.1</w:t>
      </w:r>
    </w:p>
    <w:p>
      <w:r>
        <w:t>Die Erstinstanz ging mit Verweis auf die Begründung des Strafurteils des Obergerichts des Kantons Bern vom 9. Juni 2022 davon aus, die Beschwerdeführerin müsse beweisen, dass sie Waren gemäss den ausgestellten Gutschriften tatsächlich geliefert habe. Die Erstinstanz erwog, die Beschwerdeführerin lege keinen Nachweis ins Recht, wonach bei ihr eine Vermögensverminderung entstanden sei. Der Beschwerdegegner habe den Schadenseintritt ausdrücklich bestritten und insbesondere geltend gemacht, sämtliche von der Beschwerdeführerin gelieferten Waren seien bezahlt, und sie habe keine Waren in Verrechnung mit den Gutschriften geliefert. Die aktenkundigen Gutschriften allein führten noch nicht zu einer Vermögensverminderung bei der Beschwerdeführerin. Erst die Warenlieferungen im Umfang und unter Inanspruchnahme der ausgestellten Gutschriften hätten bei der Beschwerdeführerin zu einer Vermögensverminderung führen können. Den Nachweis, dass solche Warenlieferungen erfolgt seien, erbringe die Klägerin trotz Bestreitung nicht. Beweisanträge stelle sie in diesem Zusammenhang auch keine, sondern vertrete die Ansicht, dass ein Nachweis der Warenlieferung nicht erforderlich sei. Die pauschalen Ausführungen der Beschwerdeführerin, alle Warenlieferungen seien durch die Akten (mit Lieferscheinen, Rechnungen und Gutschriften) nachgewiesen, genügten den Substanziierungsanforderungen nicht. Ferner erachtete die Erstinstanz sowohl im "Fall D.________" die bestrittene Begleichung verschiedener Rechnungen und weitere ebenfalls bestrittene Schadenspositionen als auch die zusätzlich behauptete Rufschädigung als nicht bewiesen. Sie wies die Klage mangels Substanziierung und Nachweis von Schäden ab.</w:t>
      </w:r>
    </w:p>
    <w:p>
      <w:r>
        <w:rPr>
          <w:b/>
        </w:rPr>
        <w:t>E. 2.2.2</w:t>
      </w:r>
    </w:p>
    <w:p>
      <w:r>
        <w:t>Die Vorinstanz erwog, die Beschwerdeführerin setze sich in ihrer Berufungsbegründung argumentativ unzureichend mit den erstinstanzlichen Erwägungen auseinander. Sie werfe der Erstinstanz nur pauschal eine Schadensdefinition vor, die angeblich von der - jedoch nicht dargelegten - Rechtsprechung bzw. Lehre abweiche. Inwiefern die Gutschriften durch Warenlieferungen ausgeglichen worden wären, und die Beschwerdeführerin dies der Erstinstanz beziffert dargelegt habe, lege sie in ihrer Berufung nicht dar. Vielmehr vertrete sie den Standpunkt, der Ausgleich aller ihrer Gutschriften ergebe sich aus den Prozessakten, aus einem beim Regionalgericht Bern Jura Seeland geschlossenen Vergleich, aus der Anklage und aus dem erstinstanzlichen Urteil im Berner Strafprozess. Es gehe aus der Berufungsbegründung nicht hervor, was die Beschwerdeführerin fordere, geschweige denn nenne sie besondere Umstände, die sie davon entlasten könnten, im Berufungsverfahren die Teilklageforderung von Fr. 30'000.-- nicht näher zu begründen. Aufgrund der allgemeinen Kritik der Beschwerdeführerin am erstinstanzlichen Entscheid und den blossen Verweisen auf andere Verfahren sei nicht nachvollziehbar, inwiefern sie gegenüber dem Beschwerdegegner für nicht konsumierte Gutschriften schadenersatzberechtigt sein soll. Aus der Berufung ergebe sich auch kein beziffertes Teilklagebegehren im "Fall D.________". Soweit die Beschwerdeführerin hierzu auf ihre erstinstanzliche Klagebegründung verweise, seien solche Verweise unzulässig. In Bezug auf eine Rufschädigung mache die Beschwerdeführerin ausdrücklich keinen Betrag geltend, sondern wolle einfach nur auf das zusätzliche Unrecht verwiesen haben, das ihr der Beschwerdegegner angetan haben soll.</w:t>
      </w:r>
    </w:p>
    <w:p>
      <w:r>
        <w:rPr>
          <w:b/>
        </w:rPr>
        <w:t>E. 2.3.1</w:t>
      </w:r>
    </w:p>
    <w:p>
      <w:r>
        <w:t>Die Beschwerdeführerin müsste für eine erfolgreiche Beschwerdeführung dartun, dass sie entgegen der Vorinstanz ihre Begründungsobliegenheit in der Berufungsschrift erfüllt hat. Dies tut sie über weite Strecken ihrer Beschwerde nicht. Stattdessen trägt sie vor Bundesgericht mit zahlreichen Verweisen auf andere Verfahren und Akten ihren Standpunkt vor, einen entschädigungspflichtigen Schaden erlitten zu haben, was die Vorinstanzen dieses Verfahrens sowie das Obergericht des Kantons Bern im Strafverfahren verkannt haben sollen. Die Beschwerdeführerin kann dem Begründungsmangel in ihrer Berufungsschrift nicht dadurch abhelfen, dass sie nun in der Beschwerde an das Bundesgericht versucht, eine sachdienliche Begründung nachzuliefern. Sie ergänzt damit unter dem Deckmantel des Vorwurfs des überspitzten Formalismus die von der Vorinstanz festgestellte Berufungsbegründung. So zeigt sie etwa mit ihrer frei gehaltenen Begründung vor Bundesgericht zum "Fall D.________", zum Vergleich vom 29. August 2017 oder zur Rechtskraftwirkung einer Teilklage gerade nicht mit präzisen Verweisen auf, dass die Vorinstanz eine entsprechend prozesskonform in der Berufung vorgetragene Begründung unberücksichtigt gelassen haben soll. Vielmehr ist - wie die Beschwerdeführerin an einer anderen Stelle in ihrer Beschwerdebegründung selbst festhält - davon auszugehen, dass die Vorinstanz die Vorbringen der Beschwerdeführerin in der Berufung zutreffend feststellte. An diesen Prozesssachverhalt ist das Bundesgericht gebunden. Soweit die Beschwerdeführerin ihre Vorbringen vor Bundesgericht ergänzt, ist sie nicht zu hören (oben E. 1.3).</w:t>
      </w:r>
    </w:p>
    <w:p>
      <w:r>
        <w:rPr>
          <w:b/>
        </w:rPr>
        <w:t>E. 2.3.2</w:t>
      </w:r>
    </w:p>
    <w:p>
      <w:r>
        <w:t>Die Beschwerdeführerin unterbreitet dem Bundesgericht ihre eigene Lesart ihrer Berufungsbegründung und scheint daraus zu schliessen, aufgrund der dortigen Ausführungen hätte die Vorinstanz mühelos verstehen können, dass sie einen Schaden erlitten, diesen erstinstanzlich hinreichend substanziiert vorgetragen und bewiesen habe. Die Beschwerdeführerin wendet mit Verweis auf ihre Berufungsbegründung ein, die Erstinstanz sei von einer "von Rechtsprechung und Lehrmeinung abweichenden Schadensdefinition ausgegangen" und habe ein unzutreffendes Verständnis der Bedeutung von Gutschriften, das mit der "kaufmännischen Praxis" bzw. "den Regeln der Bilanzwahrheit" unvereinbar sei. Wer eine Gutschrift erteile, "vermindert schlicht und ergreifend bedingungslos sein Vermögen" und es sei "völlig belanglos", ob die Gutschrift bereits konsumiert worden sei. Wie ihr schon die Vorinstanz zutreffend erklärte, setzte sich die Beschwerdeführerin mit diesen pauschalen Ausführungen nicht hinreichend mit den erstinstanzlichen Erwägungen zum Schaden auseinander. Daran ändert entgegen der Beschwerdeführerin nichts, dass es sich bei der Definition des Schadens um eine Rechtsfrage handelt. Dies entbindet sie nicht von ihrer Obliegenheit, im Einzelnen aufzuzeigen, inwiefern die rechtlichen Schlüsse der Erstinstanz sich nicht aufrecht erhalten lassen. Dies hat die Beschwerdeführerin mit ihren pauschalen Verweisen auf die allgemeine Schadensdefinition, die diesbezügliche Rechtsprechung und den pauschalen Schlussfolgerungen daraus nicht getan. Eine argumentative Auseinandersetzung mit der Frage, inwiefern betrügerisch erschlichene Gutschriften bzw. entsprechend vorübergehend in der Buchhaltung der Beschwerdeführerin verbuchte Forderungen entgegen der Erstinstanz einen ersatzpflichtigen Vermögensschaden darstellen sollen, lasse sich diesen Vorbringen nicht entnehmen, wie die Vorinstanz zu Recht erwog.</w:t>
      </w:r>
    </w:p>
    <w:p>
      <w:r>
        <w:rPr>
          <w:b/>
        </w:rPr>
        <w:t>E. 2.4</w:t>
      </w:r>
    </w:p>
    <w:p>
      <w:r>
        <w:t>Die Vorinstanz hat die Anforderungen an eine Berufungsbegründung nicht überspannt. Sie setzte einen Massstab an, der mit Art. 311 Abs. 1 ZPO in Einklang steht, und ist als Folge davon zu Recht auf die Berufung nicht eingetreten. Es erübrigt sich bei diesem Ergebnis, auf die weitere Alternativbegründung der Vorinstanz für ein Nichteintreten, wonach die Beschwerdeführerin keine Berufungsanträge in der Sache gestellt haben soll, und die von der Beschwerdeführerin dagegen erhobene Rügen einzugehen.</w:t>
      </w:r>
    </w:p>
    <w:p>
      <w:r>
        <w:rPr>
          <w:b/>
        </w:rPr>
        <w:t>E. 3</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