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4A_242/2022 vom 8. September 2022</w:t>
      </w:r>
    </w:p>
    <w:p>
      <w:r>
        <w:t>Bundesgericht, 2022-09-08, FR</w:t>
      </w:r>
    </w:p>
    <w:p>
      <w:r>
        <w:rPr>
          <w:b/>
        </w:rPr>
        <w:t xml:space="preserve">Quelle: </w:t>
      </w:r>
      <w:r>
        <w:t>https://mcp.opencaselaw.ch/entscheid/bger_4A_242_2022</w:t>
      </w:r>
    </w:p>
    <w:p>
      <w:r>
        <w:t>FR: TF 4A_242/2022 du 8 septembre 2022</w:t>
      </w:r>
    </w:p>
    <w:p>
      <w:r>
        <w:t>IT: TF 4A_242/2022 del 8 settembre 2022</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En l'occurrence, celle-ci a été rendue en français. Le Tribunal fédéral rendra, par conséquent, son arrêt en français, même si, dans les mémoires que le recourant a adressés au Tribunal fédéral, celui-ci s'est servi de l'allemand.</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du TAS se trouve à Lausanne. Aucune des parties n'avait son domicile respectivement son siège en Suisse au moment déterminant. Les dispositions du chapitre 12 de la LDIP sont donc applicables ( art. 176 al. 1 LDIP ).</w:t>
      </w:r>
    </w:p>
    <w:p>
      <w:r>
        <w:t>Qu'il s'agisse de l'objet du recours, de la qualité pour recourir, du délai de recours ou encore de la conclusion principale prise par le recourant, aucune de ces conditions de recevabilité ne fait problème en l'espèce. Rien ne s'oppose donc à l'entrée en matière. Demeure réservé l'examen de la recevabilité des différents griefs soulevés par le recourant.</w:t>
      </w:r>
    </w:p>
    <w:p>
      <w:r>
        <w:rPr>
          <w:b/>
        </w:rPr>
        <w:t>E. 3</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Il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Sa mission,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4A_478/2017, précité, consid. 2.2).</w:t>
      </w:r>
    </w:p>
    <w:p>
      <w:r>
        <w:rPr>
          <w:b/>
        </w:rPr>
        <w:t>E. 4</w:t>
      </w:r>
    </w:p>
    <w:p>
      <w:r>
        <w:t>Dans un moyen qu'il convient d'examiner en premier lieu, le recourant se plaint d'une violation de son droit d'être entendu.</w:t>
      </w:r>
    </w:p>
    <w:p>
      <w:r>
        <w:rPr>
          <w:b/>
        </w:rPr>
        <w:t>E. 4.1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Si la sentence passe totalement sous silence des éléments apparemment importants pour la solution du litige, c'est aux arbitres ou à la partie intimée qu'il appartiendra de justifier cette omission dans leurs observations sur le recours ( ATF 133 III 235 consid. 5.2; arrêts 4A_542/2021 du 28 février 2022 consid. 5.1; 4A_618/2020 du 2 juin 2021 consid. 4.2).</w:t>
      </w:r>
    </w:p>
    <w:p>
      <w:r>
        <w:t>C'est le lieu de rappeler que le grief tiré de la violation du droit d'être entendu ne doit pas servir, pour la partie qui se plaint de vices affectant la motivation de la sentence, à provoquer par ce biais un examen de l'application du droit de fond ( ATF 142 III 360 consid. 4.1.2).</w:t>
      </w:r>
    </w:p>
    <w:p>
      <w:r>
        <w:rPr>
          <w:b/>
        </w:rPr>
        <w:t>E. 4.2</w:t>
      </w:r>
    </w:p>
    <w:p>
      <w:r>
        <w:t>Pour étayer son grief, le recourant expose que la Formation lui a reproché, de manière injustifiée, sous n. 156 s. de la sentence entreprise, de n'avoir pas réagi à la lettre de mise en demeure que lui avait adressée l'intimée en date du 20 décembre 2019 en lui enjoignant de se rendre dans les locaux de celle-ci dans les huit jours. Or, l'intéressé fait valoir que ladite lettre ne lui serait jamais parvenue. Il estime dès lors que la Formation ne pouvait tirer aucune conclusion de l'absence de réaction de sa part à ladite mise en demeure.</w:t>
      </w:r>
    </w:p>
    <w:p>
      <w:r>
        <w:rPr>
          <w:b/>
        </w:rPr>
        <w:t>E. 4.3</w:t>
      </w:r>
    </w:p>
    <w:p>
      <w:r>
        <w:t>Tel qu'il est présenté, le grief ne saurait prospérer. Force est tout d'abord de relever que l'intéressé, qui se plaint pour la première fois devant le Tribunal fédéral de ce que la lettre de mise en demeure ne lui aurait pas été notifiée, alors qu'il n'a jamais soulevé semblable argument lors de la procédure arbitrale, adopte un comportement manifestement incompatible avec les règles de la bonne foi. En tout état de cause, il sied de relever que l'intéressé ne démontre nullement en quoi la Formation aurait, par inadvertance, omis d'examiner certains éléments régulièrement avancés par lui. Et pour cause. Comme l'a souligné à bon droit la Formation, l'intimée a allégué dans ses écritures produites devant le TAS, sans être contredite par le recourant, que ce dernier n'avait jamais répondu à la lettre du 20 décembre 2019. Comme elle l'expose dans sa réponse au recours, l'intimée avait notamment allégué ce qui suit dans son écriture du 10 février 2020:</w:t>
      </w:r>
    </w:p>
    <w:p>
      <w:r>
        <w:t>" 55. Par courrier recommandé du 20 décembre 2019, M. E.________, Secrétaire général de B.________, a mis M. A.________ en demeure de respecter ses obligations contractuelles en se présentant aux bureaux affectés par B.________ dans un délai de huit jours dès réception de la lettre, conformément à l'art. 11.1 du contrat de travail (...).</w:t>
      </w:r>
    </w:p>
    <w:p>
      <w:r>
        <w:t>56. M.A.________ n'a pas répondu à ce courrier et ne s'est pas présenté à son poste de travail dans le délai prescrit. Il a ainsi refusé de régulariser sa situation fautive. "</w:t>
      </w:r>
    </w:p>
    <w:p>
      <w:r>
        <w:t>Or, comme le relève à juste titre l'intimée, sans être véritablement contredite par son adverse partie, le recourant n'a jamais contesté avoir reçu cette lettre dans les divers mémoires qu'il a soumis au TAS ou lors de l'audience arbitrale. Dans ces circonstances, la Formation pouvait légitimement considérer que l'intéressé ne contestait pas s'être vu notifier ladite lettre.</w:t>
      </w:r>
    </w:p>
    <w:p>
      <w:r>
        <w:t>En tout état de cause, l'intéressé ne démontre pas, à satisfaction de droit, en quoi cet élément était de nature à influer sur le sort du litige, étant précisé que, selon les constatations de fait opérées par la Formation, l'intéressé ne s'est plus jamais présenté à son poste après le 12 décembre 2019 (sentence, n. 153). A le supposer recevable, le grief examiné ne pourrait dès lors qu'être rejeté.</w:t>
      </w:r>
    </w:p>
    <w:p>
      <w:r>
        <w:rPr>
          <w:b/>
        </w:rPr>
        <w:t>E. 5</w:t>
      </w:r>
    </w:p>
    <w:p>
      <w:r>
        <w:t>Dans un second moyen, divisé en plusieurs branches, le recourant, invoquant l' art. 190 al. 2 let . e LDIP, fait valoir que la sentence est incompatible avec l'ordre public matériel.</w:t>
      </w:r>
    </w:p>
    <w:p>
      <w:r>
        <w:rPr>
          <w:b/>
        </w:rPr>
        <w:t>E. 5.1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Tel est le cas lorsqu'elle viole des principes fondamentaux du droit de fond au point de ne plus être conciliable avec l'ordre juridique et le système de valeurs déterminants ( ATF 144 III 120 consid. 5.1).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L'annulation d'une sentence arbitrale internationale pour ce motif de recours est chose rarissime ( ATF 132 III 389 consid. 2.1).</w:t>
      </w:r>
    </w:p>
    <w:p>
      <w:r>
        <w:t>Pour juger si la sentence est compatible avec l'ordre public, le Tribunal fédéral ne revoit pas à sa guise l'appréciation juridique à laquelle le tribunal arbitral s'est livré sur la base des faits constatés dans sa sentence. Seul importe, en effet, pour la décision à rendre sous l'angle de l' art. 190 al. 2 let . e LDIP, le point de savoir si le résultat de cette appréciation juridique faite souverainement par le tribunal arbitral est compatible ou non avec la définition jurisprudentielle de l'ordre public matériel (arrêt 4A_157/2017 du 14 décembre 2017 consid. 3.3.3).</w:t>
      </w:r>
    </w:p>
    <w:p>
      <w:r>
        <w:rPr>
          <w:b/>
        </w:rPr>
        <w:t>E. 5.2</w:t>
      </w:r>
    </w:p>
    <w:p>
      <w:r>
        <w:t>Dans la première branche du moyen tiré de l'incompatibilité avec l'ordre public matériel, le recourant reproche à la Formation d'avoir violé le principe de la fidélité contractuelle.</w:t>
      </w:r>
    </w:p>
    <w:p>
      <w:r>
        <w:rPr>
          <w:b/>
        </w:rPr>
        <w:t>E. 5.2.1</w:t>
      </w:r>
    </w:p>
    <w:p>
      <w:r>
        <w:t>Le principe de la fidélité contractuelle, rendu par l'adage</w:t>
      </w:r>
    </w:p>
    <w:p>
      <w:r>
        <w:t>pacta sunt servanda ,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w:t>
      </w:r>
    </w:p>
    <w:p>
      <w:r>
        <w:t>pacta sunt servanda (arrêts 4A_660/2020 du 15 février 2021 consid. 3.2.2; 4A_70/2020 du 18 juin 2020 consid. 7.3.1; 4A_318/2017 du 28 août 2017 consid. 4.2).</w:t>
      </w:r>
    </w:p>
    <w:p>
      <w:r>
        <w:rPr>
          <w:b/>
        </w:rPr>
        <w:t>E. 5.2.2</w:t>
      </w:r>
    </w:p>
    <w:p>
      <w:r>
        <w:t>Considérée à la lumière de ces principes, l'argumentation développée par le recourant tombe à faux. Contrairement à ce que prétend l'intéressé, la Formation ne s'est pas contredite en appliquant l'art. 12 du contrat liant les parties, alors même qu'elle aurait prétendument souligné, auparavant, que l' art. 337d CO est de droit impératif et, partant, admis implicitement la nullité de la clause contractuelle précitée au regard de cette disposition légale. Elle n'a en effet pas enfreint le principe de la fidélité contractuelle, au sens restrictif que lui donne la jurisprudence relative à l' art. 190 al. 2 let . e LDIP, puisqu'elle n'a pas refusé d'appliquer une disposition contractuelle en se mettant en contradiction avec le résultat de son interprétation. Elle a uniquement considéré, dans un premier temps, que les parties avaient choisi de soumettre le contrat de travail à la réglementation édictée par la FIFA, et, à titre supplétif, au droit suisse (sentence, n. 115 s.). Elle a ensuite souligné que les règles applicables en l'espèce et la sentence à rendre devaient être compatibles avec l'ordre public au sens de l' art. 190 al. 2 let . e LDIP, raison pour laquelle elle a examiné si la clause pénale prévue à l'art. 12 du contrat de travail ainsi que la réglementation édictée par la FIFA étaient ou non contraires à l'ordre public (sentence, n. 163), ce qu'elle a nié (sentence, n. 170). La sentence attaquée ne souffre ainsi d'aucune contradiction interne. La démonstration du recourant ne vise en réalité pas à établir une violation du principe de la fidélité contractuelle, mais uniquement à remettre en cause, de manière inadmissible, l'application d'une clause contractuelle jugé compatible avec l'ordre public au sens de l' art. 190 al. 2 let . e LDIP. Le grief tiré d'une violation du principe</w:t>
      </w:r>
    </w:p>
    <w:p>
      <w:r>
        <w:t>pacta sunt servanda se révèle, dès lors, infondé.</w:t>
      </w:r>
    </w:p>
    <w:p>
      <w:r>
        <w:rPr>
          <w:b/>
        </w:rPr>
        <w:t>E. 5.3</w:t>
      </w:r>
    </w:p>
    <w:p>
      <w:r>
        <w:t>Dans la deuxième branche du moyen examiné, le recourant fait valoir que la sentence querellée consacrerait une violation du principe de la " justice sociale " (" Grundsatz der sozialen Gerechtigkeit "). Soulignant que la partie dite faible au contrat est protégée par de nombreuses dispositions de l'ordre juridique suisse, il fait valoir que l' art. 337d CO , lequel règle les conséquences en cas d'abandon de poste, est une norme de droit impératif visant à protéger le travailleur qui relève-rait selon lui de l'ordre public matériel visé par l' art. 190 al. 2 let . e LDIP. L'intéressé s'emploie dans la foulée à démontrer que la sentence entreprise est contraire à l' art. 337d CO et, plus généralement, incompatible avec le principe de la justice sociale. Il souligne en outre que le montant alloué à l'intimée est nettement plus élevé que celui qu'elle aurait pu obtenir en vertu de l' art. 337d CO .</w:t>
      </w:r>
    </w:p>
    <w:p>
      <w:r>
        <w:t>Tel qu'il est présenté, le grief ne saurait prospérer. Force est tout d'abord de relever que le recourant ne cite pas la moindre référence jurisprudentielle ou doctrinale visant à étayer sa thèse selon laquelle un principe aussi vague que celui de la " justice sociale " ferait partie de l'ordre public visé par l' art. 190 al. 2 let . e LDIP. Il est du reste très douteux que tel soit effectivement le cas.</w:t>
      </w:r>
    </w:p>
    <w:p>
      <w:r>
        <w:t>En tout état de cause, l'argumentation développée par le recourant, au ton appellatoire marqué mêlant de manière inextricable les faits et le droit, visant à démontrer que le résultat auquel a abouti la Formation serait contraire à l' art. 337d CO n'est pas pertinente, dès lors que les arbitres ont considéré que la norme précitée n'était pas applicable en l'espèce. Il sied par ailleurs de rappeler que le moyen pris de l'incompatibilité avec l'ordre public matériel, au sens de l' art. 190 al. 2 let . e LDIP et de la jurisprudence y afférente, n'est pas recevable dans la mesure où il tend uniquement à établir la contrariété entre la sentence attaquée et une norme du droit suisse, et ce quel que puisse être le degré de cette contrariété, à la supposer établie (arrêts 4A_248/2019 du 25 août 2020 consid. 9.8.1 non publié aux ATF 147 III 49 ; 4A_32/2016 du 20 décembre 2016 consid. 4.3). Au demeurant, qu'une norme relève du droit impératif suisse n'implique pas nécessairement que sa violation contreviendrait à l'ordre public de l' art. 190 al. 2 let . e LDIP (arrêt 4A_536/2016 du 26 octobre 2016 consid. 4.3.2 et les références citées). Même à le supposer recevable, le grief examiné devrait dès lors de toute manière être rejeté.</w:t>
      </w:r>
    </w:p>
    <w:p>
      <w:r>
        <w:rPr>
          <w:b/>
        </w:rPr>
        <w:t>E. 5.4</w:t>
      </w:r>
    </w:p>
    <w:p>
      <w:r>
        <w:t>Dans la troisième et dernière branche du moyen pris de la contrariété à l'ordre public, le recourant soutient que la sentence attaquée violerait le principe de la bonne foi. En substance, il reproche aux arbitres d'avoir considéré qu'il avait rompu le contrat de travail en manifestant sa volonté d'abandonner son poste depuis le 28 décembre 2019 alors même qu'il n'avait pas reçu la lettre de mise en demeure du 20 décembre 2019.</w:t>
      </w:r>
    </w:p>
    <w:p>
      <w:r>
        <w:t>Force est d'emblée de relever que la motivation du grief laisse fortement à désirer, de sorte que l'on peut sérieusement douter de sa recevabilité. La démonstration effectuée par le recourant présente un caractère purement appellatoire et repose notamment sur des faits s'écartant de ceux constatés par la Formation. Au demeurant, elle ne consiste qu'en une vaine tentative de remettre en cause le raisonnement tenu par les arbitres, l'intéressé se contentant de reprendre l'argument qu'il a déjà développé sous l'angle du moyen pris de la violation de son droit d'être entendu. Par ailleurs, le recourant ne fait rien d'autre que de critiquer le raisonnement tenu par la Formation mais ne démontre nullement en quoi le résultat auquel a abouti celle-ci serait incompatible avec l'ordre public matériel. Il s'ensuit le rejet du grief examiné.</w:t>
      </w:r>
    </w:p>
    <w:p>
      <w:r>
        <w:rPr>
          <w:b/>
        </w:rPr>
        <w:t>E. 6</w:t>
      </w:r>
    </w:p>
    <w:p>
      <w:r>
        <w:t>Au vu de ce qui précède, le recours doit être rejeté dans la mesure de sa recevabilité. Le recourant, qui succombe,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