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242/2014 vom 2. September 2014</w:t>
      </w:r>
    </w:p>
    <w:p>
      <w:r>
        <w:t>Bundesgericht, 2014-09-02, FR</w:t>
      </w:r>
    </w:p>
    <w:p>
      <w:r>
        <w:rPr>
          <w:b/>
        </w:rPr>
        <w:t xml:space="preserve">Quelle: </w:t>
      </w:r>
      <w:r>
        <w:t>https://mcp.opencaselaw.ch/entscheid/bger_4A_242_2014</w:t>
      </w:r>
    </w:p>
    <w:p>
      <w:r>
        <w:t>FR: TF 4A 242/2014 du 2 septembre 2014</w:t>
      </w:r>
    </w:p>
    <w:p>
      <w:r>
        <w:t>IT: TF 4A 242/2014 del 2 settembre 2014</w:t>
      </w:r>
    </w:p>
    <w:p>
      <w:pPr>
        <w:pStyle w:val="Heading2"/>
      </w:pPr>
      <w:r>
        <w:t>Regeste</w:t>
      </w:r>
    </w:p>
    <w:p>
      <w:r>
        <w:t>procédure civile; compétence à raison de la matière | Droit des contrats</w:t>
      </w:r>
    </w:p>
    <w:p>
      <w:pPr>
        <w:pStyle w:val="Heading2"/>
      </w:pPr>
      <w:r>
        <w:t>Erwägungen</w:t>
      </w:r>
    </w:p>
    <w:p>
      <w:r>
        <w:rPr>
          <w:b/>
        </w:rPr>
        <w:t>E. 1</w:t>
      </w:r>
    </w:p>
    <w:p>
      <w:r>
        <w:t>Au regard de l' art. 92 al. 1 LTF , l'arrêt de la Cour de justice est une décision incidente concernant la compétence de la juridiction prud'homale; il est susceptible de recours selon cette disposition. Les conditions de recevabilité du recours en matière civile sont pour le surplus satisfaites, notamment à raison de la valeur litigieuse.</w:t>
      </w:r>
    </w:p>
    <w:p>
      <w:r>
        <w:rPr>
          <w:b/>
        </w:rPr>
        <w:t>E. 2</w:t>
      </w:r>
    </w:p>
    <w:p>
      <w:r>
        <w:t>En accord avec la décision attaquée, la défenderesse admet que la prestation en cause ne relève pas de la loi fédérale sur la prévoyance professionnelle vieillesse, survivants et invalidité (831.40; LPP), et que la contestation ne ressortit donc pas au tribunal que chaque canton doit instituer en vertu de l' art. 77 al. 1 LPP . La défenderesse soutient en revanche que la cause ressortit au Tribunal de première instance selon l'art. 86 al. 1 et 2 de la loi genevoise sur l'organisation judiciaire, à l'exclusion du Tribunal des prud'hommes.</w:t>
      </w:r>
    </w:p>
    <w:p>
      <w:r>
        <w:rPr>
          <w:b/>
        </w:rPr>
        <w:t>E. 3</w:t>
      </w:r>
    </w:p>
    <w:p>
      <w:r>
        <w:t>A teneur de cette disposition cantonale, le Tribunal de première instance est compétent pour tous les actes de la juridiction civile contentieuse ou non contentieuse que la loi n'attribue pas à une autre autorité judiciaire ou administrative (al. 1); il exerce notamment, sauf si la loi désigne une autre autorité, les compétences que le code de procédure civile (CPC) attribue à l'autorité de jugement de première instance (al. 2 let. a). Sa compétence est ainsi exclue dans les causes qui ressortissent au Tribunal des prud'hommes selon l'art. 1er al. 1 let. a de la loi cantonale sur le Tribunal des prud'hommes (LTPH gen.), soit les litiges découlant d'un contrat de travail selon le titre dixième du code des obligations. L'application de l'art. 1er al. 1 let. a LTPH gen. nécessite de qualifier la relation contractuelle des parties sur la base des règles de droit civil fédéral relatives au contrat de travail, y compris, le cas échéant, les contrats de travail de caractère spécial. Néanmoins, le droit fédéral n'impose pas aux cantons d'attribuer le contentieux du contrat de travail à une juridiction distincte de celles compétentes dans d'autres domaines; à ce sujet, leur liberté est consacrée par l' art. 4 al. 1 CPC . Les compétences fonctionnelles respectives du Tribunal de première instance et du Tribunal des prud'hommes sont délimitées exclusivement par le droit cantonal, alors même que celui-ci incorpore une définition appartenant au droit fédéral. En conséquence, et pour autant qu'un tribunal soit accessible selon l'organisation judiciaire cantonale, une décision relative à la compétence, telle que celle présentement litigieuse, ne peut pas contrevenir à ce droit-ci ( ATF 128 III 76 consid. 1a p. 80; 125 III 461 consid. 2 p. 463; 115 II 237 consid. 1c p. 241). En revanche, elle peut se révéler incompatible avec la protection contre l'arbitraire conférée par l' art. 9 Cst.</w:t>
      </w:r>
    </w:p>
    <w:p>
      <w:r>
        <w:rPr>
          <w:b/>
        </w:rPr>
        <w:t>E. 4</w:t>
      </w:r>
    </w:p>
    <w:p>
      <w:r>
        <w:t>La défenderesse se plaint précisément d'une application prétendument arbitraire de l'art. 1er al. 1 let. a LTPH gen. Il est constant que cette partie s'est liée au demandeur par un contrat de travail selon l' art. 319 CO . Il n'est pas allégué, et moins encore établi que les parties aient aussi noué des relations juridiques sans lien avec ce contrat. Il s'ensuit que dans la mesure où elle est due, la somme présentement réclamée ne peut être qu'un élément de la rémunération exigible par le demandeur sur la base de l' art. 322 al. 1 CO . Les règles du droit du travail sont applicables à toutes les prestations promises au travailleur en contrepartie de son activité, indépendamment de la construction juridique adoptée au sein du groupe employeur relativement à certaines de ces prestations, et, en particulier, indépendamment d'un éventuel système de contrats multiples liant le travailleur à des personnes morales distinctes ( ATF 130 III 495 consid. 4.2.1 p. 401). Contrairement à l'argumentation de la défenderesse, il importe donc peu que le contrat conclu le 24 août 2009 entre F.________ Co et W.________ PLC, invoqué par le demandeur à l'appui de sa prétention, ne soit pas un contrat de travail. Pour autant qu'elle soit débitrice de la prestation en cause, la défenderesse l'est à raison du contrat de travail conclu avec le demandeur, de sorte que la Cour de justice n'a pas violé l' art. 9 Cst. en confirmant la compétence du Tribunal des prud'hommes.</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