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4A_241/2019 vom 30. Oktober 2019</w:t>
      </w:r>
    </w:p>
    <w:p>
      <w:r>
        <w:t>Bundesgericht, 2019-10-30, FR</w:t>
      </w:r>
    </w:p>
    <w:p>
      <w:r>
        <w:rPr>
          <w:b/>
        </w:rPr>
        <w:t xml:space="preserve">Quelle: </w:t>
      </w:r>
      <w:r>
        <w:t>https://mcp.opencaselaw.ch/entscheid/bger_4A_241_2019</w:t>
      </w:r>
    </w:p>
    <w:p>
      <w:r>
        <w:t>FR: TF 4A_241/2019 du 30 octobre 2019</w:t>
      </w:r>
    </w:p>
    <w:p>
      <w:r>
        <w:t>IT: TF 4A_241/2019 del 30 ottobre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15'000 fr. ouvrant le recours en matière civile dans les affaires relevant du droit du travail ( art. 74 al. 1 let. a LTF ). Le recours a été déposé dans le délai ( art. 46 al. 1 let. a et art. 100 al. 1 LTF ) et la forme ( art. 42 LTF ) prévus par la loi. Il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3</w:t>
      </w:r>
    </w:p>
    <w:p>
      <w:r>
        <w:t>Il est constant que les parties ont été liées par un contrat de travail, lequel a été résilié par l'intimée avec effet au 31 octobre 2014. Le litige porte sur le caractère prétendument abusif du licenciement.</w:t>
      </w:r>
    </w:p>
    <w:p>
      <w:r>
        <w:rPr>
          <w:b/>
        </w:rPr>
        <w:t>E. 3.1</w:t>
      </w:r>
    </w:p>
    <w:p>
      <w:r>
        <w:t>Les juges précédents ont établi, en fait, que l'employeuse avait bien été guidée par des motifs économiques, comme elle l'avait allégué. Les comptes audités de la société présentaient un déficit tant en 2013 qu'en 2014. De plus, le poste de l'employé avait été repourvu à l'interne et ce seulement à un taux de 40%. La thèse soutenue par l'employé selon laquelle il serait, ainsi que sa famille, victime d'une "cabale" n'emportait pas la conviction: il n'avait pas été le seul à être victime de la restructuration; dix-huit personnes au total avaient quitté l'entreprise à la même période. L'autorité précédente en conclut que le licenciement n'est pas abusif.</w:t>
      </w:r>
    </w:p>
    <w:p>
      <w:r>
        <w:rPr>
          <w:b/>
        </w:rPr>
        <w:t>E. 3.2</w:t>
      </w:r>
    </w:p>
    <w:p>
      <w:r>
        <w:t>Le recourant élève deux griefs à l'encontre de l'arrêt attaqué. Il reproche tout d'abord aux juges vaudois d'avoir basé leur raisonnement sur des faits inexacts. Il se plaint ensuite d'une violation de l' art. 336 al. 1 let. a CO .</w:t>
      </w:r>
    </w:p>
    <w:p>
      <w:r>
        <w:rPr>
          <w:b/>
        </w:rPr>
        <w:t>E. 4</w:t>
      </w:r>
    </w:p>
    <w:p>
      <w:r>
        <w:t>Le recourant dénonce une constatation inexacte des faits pertinents. Il relève que son père n'aurait jamais été administrateur de la société et qu'un autre employé, C.________, n'aurait pas réalisé de meilleure performance que lui. L'employé se fonde sur le fait que ses propres résultats auraient été calculés sur douze mois alors qu'ils auraient dû être rapportés à six mois, en raison de la résiliation de son contrat de travail. Il considère également que les chiffres sur lesquels se sont basés les juges cantonaux ne correspondent pas à la réalité économique de l'entreprise, le témoignage de D.________ les infirmant clairement à son avis. Il sollicite à cet égard que l'état de fait soit complété, en ce sens que l'intégralité du témoignage de D.________ soit retranscrit. A l'en croire, ces déclarations constituaient un bilan intermédiaire, sous forme de résultat bénéficiaire mensuel, qui auraient dû être intégrées dans la décision.</w:t>
      </w:r>
    </w:p>
    <w:p>
      <w:r>
        <w:rPr>
          <w:b/>
        </w:rPr>
        <w:t>E. 4.1</w:t>
      </w:r>
    </w:p>
    <w:p>
      <w:r>
        <w:t>Le recourant oublie que la cour de céans n'est pas une autorité d'appel, auprès de laquelle les faits pourraient être rediscutés librement. À moins que les faits n'aient été établis de manière manifestement inexacte, c'est-à-dire arbitraire, le Tribunal fédéral ne revoit pas les faits constatés par la cour cantonale. Or, en l'espèce, par l'énumération de faits soi-disant méconnus de l'autorité précédente, l'employé ne satisfait pas aux exigences de motivation rappelées plus haut (consid. 2.2.1 supra). En effet, on ne voit guère en quoi le fait que son père ait été ou non administrateur de l'intimée est déterminant dans le présent contexte. S'agissant des déclarations de D.________, ancien employé de la société, le recourant se contente d'exposer sa propre version des faits et semble simplement reprocher à la cour cantonale de ne pas avoir pris en considération les assertions de ce témoin. Or, aucun reproche ne saurait être fait aux juges précédents, dès lors que, dans le cadre de l'appréciation des preuves, ils ont estimé que les résultats de la société ressortant des comptes audités étaient suffisamment probants. Enfin, il est rappelé que le juge ne tombe pas dans l'arbitraire s'il passe sous silence des faits qui, sans violation du droit, lui paraissent non pertinents ou non déterminants ou qui, de manière soutenable, lui semblent sans pertinence dans l'appréciation des preuves (BERNARD CORBOZ, IN Commentaire de la LTF, 2e éd. 2014, n° 37 ad art. 97 LTF p. 1121). Il s'ensuit que le grief d'arbitraire quant à ces faits est irrecevable.</w:t>
      </w:r>
    </w:p>
    <w:p>
      <w:r>
        <w:rPr>
          <w:b/>
        </w:rPr>
        <w:t>E. 4.2</w:t>
      </w:r>
    </w:p>
    <w:p>
      <w:r>
        <w:t>Lorsqu'il fait ensuite valoir qu'il était suffisant d'apporter la preuve par témoins des faits qu'il allègue, le recourant oublie qu'il s'agit pour le juge d'apprécier les preuves à sa disposition. Or, on ne voit pas en quoi, sur le vu des éléments relevés par les juges cantonaux, le fait d'écarter lesdits témoignages serait arbitraire. En effet, la cour cantonale a notamment pris en considération les relations entre les parties, soit, d'une part, le fait que E.________ est le père de l'employé et, d'autre part, le fort sentiment de solidarité de D.________, lequel considérait que le recourant était "de loin [le] meilleur vendeur" de l'entreprise quand bien même les chiffres ont démontré que tel n'était pas le cas. Les juges précédents ont également relevé qu'il n'y avait aucun fait concret qui appuyait les déclarations des témoins. Enfin, ils ont soulevé divers indices figurant au dossier qui discréditaient les déclarations du père de l'employé ainsi que celles de D.________. Il s'agissait notamment des comptes audités de la société ou du fait que, malgré leurs allégations, les témoins n'ont eu aucune perception directe du licenciement de l'employé. Il s'agit d'autant d'éléments dont la cour cantonale pouvait déduire, sans arbitraire, qu'ils s'opposaient à la prise en compte des témoignages ou qu'ils n'en permettaient la prise en compte qu'avec retenue.</w:t>
      </w:r>
    </w:p>
    <w:p>
      <w:r>
        <w:rPr>
          <w:b/>
        </w:rPr>
        <w:t>E. 5</w:t>
      </w:r>
    </w:p>
    <w:p>
      <w:r>
        <w:t>Dans un second grief, l'employé invoque une violation de l' art. 336 al. 1 let. a CO . Il considère que le motif économique du congé allégué n'est pas avéré et que le motif réel est abusif.</w:t>
      </w:r>
    </w:p>
    <w:p>
      <w:r>
        <w:rPr>
          <w:b/>
        </w:rPr>
        <w:t>E. 5.1</w:t>
      </w:r>
    </w:p>
    <w:p>
      <w:r>
        <w:t>L'argument de la violation du droit repose en réalité sur une version des faits différente de celle qui a été retenue par la cour cantonale et qui, comme cela ressort du considérant 4 ci-dessus, lie le Tribunal fédéral, faute d'arbitraire. Privé de tout fondement, le grief de violation de l' art. 336 CO ne peut qu'être écarté (cf. au demeurant, sur la notion de congé abusif notamment: ATF 132 III 115 consid. 2 p. 116 ss; arrêt 4A_333/2018 du 4 septembre 2018 consid. 3.3.1; sur l'admissibilité du motif économique: ATF 138 III 359 consid. 6 p. 361 ss; 133 III 512 consid. 6.2 p. 514; arrêts 4A_656/2016 du 1er septembre 2017 consid. 3.2; 4A_555/2011 du 23 février 2012 consid. 2.3.3).</w:t>
      </w:r>
    </w:p>
    <w:p>
      <w:r>
        <w:rPr>
          <w:b/>
        </w:rPr>
        <w:t>E. 5.2</w:t>
      </w:r>
    </w:p>
    <w:p>
      <w:r>
        <w:t>Au surplus, les derniers éléments factuels invoqués par l'employé ne remplissent pas les strictes exigences de motivation du recours (cf. consid. 2.2.1 supra) en lien avec l'invocation de l'arbitraire. Le recourant se contente en effet de présenter sa propre version des faits et en déduit que celle des juges cantonaux, divergente, serait arbitraire. Il en résulte l'irrecevabilité du grief.</w:t>
      </w:r>
    </w:p>
    <w:p>
      <w:r>
        <w:rPr>
          <w:b/>
        </w:rPr>
        <w:t>E. 6</w:t>
      </w:r>
    </w:p>
    <w:p>
      <w:r>
        <w:t>Sur le vu de ce qui précède, le recours doit être rejeté dans la mesure de sa recevabilité, aux frais de son auteur ( art. 66 al. 1 LTF ). Aucune indemnité de dépens ne sera octroyée à l'intimée, laquelle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