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4A_240/2018 vom 13. März 2019</w:t>
      </w:r>
    </w:p>
    <w:p>
      <w:r>
        <w:t>Bundesgericht, 2019-03-13, FR</w:t>
      </w:r>
    </w:p>
    <w:p>
      <w:r>
        <w:rPr>
          <w:b/>
        </w:rPr>
        <w:t xml:space="preserve">Quelle: </w:t>
      </w:r>
      <w:r>
        <w:t>https://mcp.opencaselaw.ch/entscheid/bger_4A_240_2018</w:t>
      </w:r>
    </w:p>
    <w:p>
      <w:r>
        <w:t>FR: TF 4A_240/2018 du 13 mars 2019</w:t>
      </w:r>
    </w:p>
    <w:p>
      <w:r>
        <w:t>IT: TF 4A_240/2018 del 13 marzo 2019</w:t>
      </w:r>
    </w:p>
    <w:p>
      <w:pPr>
        <w:pStyle w:val="Heading2"/>
      </w:pPr>
      <w:r>
        <w:t>Erwägungen</w:t>
      </w:r>
    </w:p>
    <w:p>
      <w:r>
        <w:rPr>
          <w:b/>
        </w:rPr>
        <w:t>E. 1</w:t>
      </w:r>
    </w:p>
    <w:p>
      <w:r>
        <w:t>Formé en temps utile (art. 100 al. 1, 45 al. 1 et 46 al. 1 let. a LTF), dirigé contre une décision finale ( art. 90 LTF ), rendue sur appel de la défenderesse par le tribunal supérieur du canton ( art. 75 LTF ) dans une affaire relevant du droit du travail ( art. 72 al. 1 LTF ), dont la valeur litigieuse excède 15'000 fr. ( art. 74 al. 1 let. a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 Les faits nouveaux sont irrecevables devant le Tribunal fédéral ( art. 99 al. 1 LTF ).</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Vu le siège anglais de la société employeuse et le domicile français de l'employé, la cause revêt un caractère international. La question du droit applicable se résout selon la loi fédérale du 18 décembre 1987 sur le droit international privé (LDIP; RS 291), à défaut de traités internationaux ( art. 1 al. 1 let. a et al. 2 LDIP ). En l'espèce, les parties étaient liées par un contrat de travail, sur lequel reposent les prétentions de l'employé. En vertu de l' art. 121 al. 1 LDIP , le contrat de travail est régi par le droit de l'Etat dans lequel le travailleur accomplit habituellement son travail, soit ici le droit suisse.</w:t>
      </w:r>
    </w:p>
    <w:p>
      <w:r>
        <w:rPr>
          <w:b/>
        </w:rPr>
        <w:t>E. 4.1</w:t>
      </w:r>
    </w:p>
    <w:p>
      <w:r>
        <w:t>Dans un premier grief, le recourant reproche à la cour cantonale d'avoir constaté les faits de façon manifestement inexacte ( art. 97 al. 1 LTF ) et violé l' art. 316 al. 3 CPC .</w:t>
      </w:r>
    </w:p>
    <w:p>
      <w:r>
        <w:t>Par sa critique, il tente de revenir sur le constat suivant de la cour cantonale : "</w:t>
      </w:r>
    </w:p>
    <w:p>
      <w:r>
        <w:t>(...) les éléments figurant au dossier sont suffisants pour établir les faits pertinents, étant relevé que [le demandeur] ne conteste pas que les témoins qu'il souhaite faire entendre ou réentendre ne seraient pas en mesure de fournir des informations concernant la pratique des severances [indemnités de départ] après la restructuration intervenue au sein de [la défenderesse] en 2006 ".</w:t>
      </w:r>
    </w:p>
    <w:p>
      <w:r>
        <w:t>Le recourant affirme que l'audition de ces témoins lui " aurait clairement permis " de démontrer que la pratique des indemnités de départ s'appliquait également aux employés ayant accepté le transfert et qu'elle fait ainsi partie intégrante de son contrat de travail. Sa critique, purement appellatoire, est irrecevable.</w:t>
      </w:r>
    </w:p>
    <w:p>
      <w:r>
        <w:t>L'affirmation (qui n'est accompagnée d'aucune autre motivation) selon laquelle " les employés acceptant leur transfert ont également reçu une telle indemnité lors des restructurations de 1999 et 2006 " appelle la même conclusion.</w:t>
      </w:r>
    </w:p>
    <w:p>
      <w:r>
        <w:t>Cela étant, la prétendue " violation crasse " de l' art. 316 al. 3 CPC , qui résulterait de la constatation arbitraire des faits, se révèle privée de tout fondement.</w:t>
      </w:r>
    </w:p>
    <w:p>
      <w:r>
        <w:t>Enfin, le recourant évoque l' art. 8 CC , ainsi que l' art. 29 al. 2 Cst. , sans toutefois fournir la moindre motivation qui permettrait de comprendre en quoi ces dispositions auraient été violées par la cour cantonale dans les circonstances de l'espèce. Il n'y a pas lieu d'entrer en matière sur ces critiques (cf. art. 42 al. 2 et 106 al. 2 LTF).</w:t>
      </w:r>
    </w:p>
    <w:p>
      <w:r>
        <w:rPr>
          <w:b/>
        </w:rPr>
        <w:t>E. 4.2</w:t>
      </w:r>
    </w:p>
    <w:p>
      <w:r>
        <w:t>Dans un deuxième grief, le recourant reproche à la cour cantonale d'avoir violé le principe de la confiance en refusant de retenir l'existence d'un accord portant aussi bien sur le principe du versement d'une indemnité de départ que sur sa quotité. Selon lui, celle-ci serait déterminable puisqu'elle correspondrait, selon la pratique de l'employeuse, à un mois de salaire par année (s) de service. Tous les employés en auraient bénéficié lors de restructurations (tant les employés ayant accepté leur transfert et conservé leur travail que ceux qui l'ont refusé et quitté leur activité professionnelle) et le demandeur pouvait de bonne foi s'attendre à en profiter à son tour.</w:t>
      </w:r>
    </w:p>
    <w:p>
      <w:r>
        <w:t>Examinant la pratique évoquée par le demandeur, la cour cantonale a fait le constat qu'en réalité, l'indemnité de départ n'était attribuée (à tout le moins sur le principe) qu'aux employés ayant refusé leur transfert, soit ceux ayant définitivement quitté leur poste de travail.</w:t>
      </w:r>
    </w:p>
    <w:p>
      <w:r>
        <w:t>En fonction de ce constat, on voit mal comment on pourrait admettre l'existence d'un accord entre les parties qui aurait la portée que le demandeur entend lui conférer. Aucun élément factuel ne permet de retenir que, selon leur volonté réelle (question de fait), les parties seraient convenues de l'octroi d'une indemnité déterminée (ou déterminable) en cas de transfert (accepté par l'employé) au sein d'une société reprenante. Quant à l'éventuelle application du principe de la confiance, si elle relève du droit, elle repose nécessairement sur des faits constatés par l'autorité cantonale. Comme il est établi qu'aucune indemnité n'était versée en cas de transfert de l'employé auprès d'une nouvelle entreprise et qu'aucune autre circonstance (cf. arrêt entrepris p. 11 qui constate qu'" aucun élément du dossier " ne confirme la thèse du demandeur) n'atteste que l'employeuse aurait adopté une attitude éveillant une attente particulière de l'employé à cet égard, l'application du principe de la confiance n'est d'aucune aide à celui-ci.</w:t>
      </w:r>
    </w:p>
    <w:p>
      <w:r>
        <w:t>L'argument du recourant selon lequel l'employeuse n'a jamais informé ses employés qu'ils n'auraient pas droit aux</w:t>
      </w:r>
    </w:p>
    <w:p>
      <w:r>
        <w:t>severances s'ils acceptaient leur transfert n'aurait de sens que si, en pratique, les indemnités étaient versées sans aucune condition (également en cas de transfert approuvé par l'employé). Tel n'est pas le cas en l'espèce et on ne saurait dès lors contraindre l'employeuse à informer ses employés au motif qu'elle dérogerait à sa pratique, alors qu'elle ne faisait que s'y conformer, selon les constatations cantonales.</w:t>
      </w:r>
    </w:p>
    <w:p>
      <w:r>
        <w:rPr>
          <w:b/>
        </w:rPr>
        <w:t>E. 4.3</w:t>
      </w:r>
    </w:p>
    <w:p>
      <w:r>
        <w:t>Le recourant invoque ensuite la violation des art. 18, 322 et 322d CO , ainsi que l'arbitraire.</w:t>
      </w:r>
    </w:p>
    <w:p>
      <w:r>
        <w:t>Il fonde toutefois l'intégralité de son argumentation sur la prémisse - erronée - que le versement d'indemnités sans aucune condition (i.e également lorsque l'employé accepte son transfert auprès de la société reprenante) en cas de restructurations consisterait en une pratique de la société employeuse et que les contrats de tous les employés intégreraient cette pratique, de sorte que l'employeuse ne pourrait y déroger que si elle prouvait la modification contractuelle. L'argumentation se révèle dès lors sans consistance et c'est en vain que le recourant tente de convaincre que la modification contractuelle nécessitait le respect de la " procédure du congé-modification ".</w:t>
      </w:r>
    </w:p>
    <w:p>
      <w:r>
        <w:t>On ne discerne en outre pas quel argument supplémentaire le recourant entend tirer de la jurisprudence relative à la qualification des bonus, et en particulier de la distinction entre la gratification (au bon vouloir de l'employeur) et le salaire (soit un montant déterminé ou déterminable dont le versement a été convenu contractuellement). En l'occurrence, aucun élément de l'arrêt cantonal ne permet de conclure à l'existence d'un accord entre les parties sur l'indemnité réclamée par l'employé (considérée par lui comme un élément salarial, elle serait due même en l'absence de perte d'emploi), de sorte que la distinction évoquée par le recourant, qui a par ailleurs trait à la qualification des bonus, est ici dénuée de toute pertinence.</w:t>
      </w:r>
    </w:p>
    <w:p>
      <w:r>
        <w:t>Le recourant insiste sur les enseignements tirés de la précédente restructuration de la société employeuse qui s'est déroulée en 2006. Il observe que celle-ci a été condamnée à de nombreuses reprises par la Cour de justice à " verser des indemnités de départ d'un mois de salaire par année de service " aux employés " quittant " l'entreprise. L'interprétation faite par le demandeur du terme " quitter " ne peut toutefois être suivie, les juges cantonaux ayant explicitement indiqué qu'elle n'était corroborée par " aucun élément du dossier ", tous les employés ayant actionné la société aérienne devant la Cour de justice après la restructuration de 2006 ayant vu leurs contrats prendre fin, suite à leur refus d'accepter les conditions de travail de la société reprenante.</w:t>
      </w:r>
    </w:p>
    <w:p>
      <w:r>
        <w:t>S'agissant des deux derniers griefs invoqués par le recourant (violation du principe d'égalité et abus de droit), le recourant se fonde à nouveau sur la prémisse - erronée - que le versement d'indemnités (sans aucune condition) en cas de restructurations consisterait en une pratique de la société employeuse et que les contrats de tous les employés intégreraient cette pratique. Les critiques tombent dès lors à faux.</w:t>
      </w:r>
    </w:p>
    <w:p>
      <w:r>
        <w:t>La question litigieuse est dès lors tranchée et il est inutile d'examiner la motivation subsidiaire (" Quoi qu'il en soit, à supposer que... ") fournie par la cour cantonale.</w:t>
      </w:r>
    </w:p>
    <w:p>
      <w:r>
        <w:t>Les moyens se révèlent infondés.</w:t>
      </w:r>
    </w:p>
    <w:p>
      <w:r>
        <w:rPr>
          <w:b/>
        </w:rPr>
        <w:t>E. 5</w:t>
      </w:r>
    </w:p>
    <w:p>
      <w:r>
        <w:t>Il résulte des considérations qui précèdent que le recours en matière civile doit être rejeté dans la mesu re de sa recevabilité.</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