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240/2013 vom 30. September 2013</w:t>
      </w:r>
    </w:p>
    <w:p>
      <w:r>
        <w:t>Bundesgericht, 2013-09-30, DE</w:t>
      </w:r>
    </w:p>
    <w:p>
      <w:r>
        <w:rPr>
          <w:b/>
        </w:rPr>
        <w:t xml:space="preserve">Quelle: </w:t>
      </w:r>
      <w:r>
        <w:t>https://mcp.opencaselaw.ch/entscheid/bger_4A_240_2013</w:t>
      </w:r>
    </w:p>
    <w:p>
      <w:r>
        <w:t>FR: TF 4A 240/2013 du 30 septembre 2013</w:t>
      </w:r>
    </w:p>
    <w:p>
      <w:r>
        <w:t>IT: TF 4A 240/2013 del 30 settembre 2013</w:t>
      </w:r>
    </w:p>
    <w:p>
      <w:pPr>
        <w:pStyle w:val="Heading2"/>
      </w:pPr>
      <w:r>
        <w:t>Regeste</w:t>
      </w:r>
    </w:p>
    <w:p>
      <w:r>
        <w:t>Einsichtsrecht des Gläubigers | Vertragsrecht</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(Art. 75 Abs. 1 und Abs. 2 lit. b BGG i.V.m. Art. 6 ZPO sowie Art. 90 BGG ). Dagegen steht grundsätzlich die Beschwerde in Zivilsachen offen.</w:t>
      </w:r>
    </w:p>
    <w:p>
      <w:r>
        <w:rPr>
          <w:b/>
        </w:rPr>
        <w:t>E. 1.2.1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1.2.3</w:t>
      </w:r>
    </w:p>
    <w:p>
      <w:r>
        <w:t>Die Beschwerde hat ein Rechtsbegehren zu enthalten ( Art. 42 Abs. 1 BGG ). Da die Beschwerde an das Bundesgericht ein reformatorisches Rechtsmittel ist ( Art. 107 Abs. 2 BGG ), darf sich der Beschwerdeführer grundsätzlich nicht darauf beschränken, die Aufhebung des angefochtenen Beschlusses zu beantragen, sondern muss einen Antrag in der Sache stellen. Der Beschwerdeführer muss demnach angeben, welche Punkte des angefochtenen Entscheids bestritten und welche Abänderung des Dispositivs beantragt werden. Grundsätzlich ist ein materieller Antrag erforderlich; Anträge auf Rückweisung der Sache an die Vorinstanz zur neuen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137 II 313 E. 1.3; 134 III 379 E. 1.3 S. 383; 133 III 489 E. 3.1 S. 489 f.).</w:t>
      </w:r>
    </w:p>
    <w:p>
      <w:r>
        <w:rPr>
          <w:b/>
        </w:rPr>
        <w:t>E. 1.3</w:t>
      </w:r>
    </w:p>
    <w:p>
      <w:r>
        <w:t>Die Beschwerdeführerin beantragt im Hauptbegehren einzig die Aufhebung des angefochtenen Beschlusses und die Rückweisung an die Vorinstanz zur Neubeurteilung. Einen materiellen Antrag stellt sie nicht und gibt nicht an, inwiefern das Dispositiv des angefochtenen Beschlusses zu ändern wäre. Damit genügt die Beschwerde den Begründungsanforderungen gemäss Art. 42 BGG nicht, fällt doch eine reformatorische Entscheidung vorliegend nicht von vornherein ausser Betracht; Gegenteiliges wird auch in der Beschwerde nicht dargetan. Die Beschwerdeführerin formuliert hinsichtlich des vorinstanzlichen Kostenentscheids separate Eventualbegehren. Ihrer Beschwerdebegründung lassen sich jedoch keine Rügen hinsichtlich der Kostenverteilung entnehmen, weshalb sie die Begründungsanforderungen nach Art. 42 Abs. 1 und 2 BGG selbst unter der Annahme verfehlt, dass sie den handelsgerichtlichen Kostenentscheid unabhängig vom Ausgang der Hauptsache anfechten wollte. Auf die Beschwerde ist daher nicht einzutreten.</w:t>
      </w:r>
    </w:p>
    <w:p>
      <w:r>
        <w:rPr>
          <w:b/>
        </w:rPr>
        <w:t>E. 1.4</w:t>
      </w:r>
    </w:p>
    <w:p>
      <w:r>
        <w:t>Selbst wenn die Beschwerdeführerin im Hauptbegehren rechtsgenügende Anträge gestellt hätte, würden ihre Vorbringen ins Leere stossen. Die Beschwerdeführerin unterbreitet dem Bundesgericht ihre Sicht zum Hintergrund des Rechtsstreits und stützt sich auf eine eigene Darstellung der tatsächlichen Verhältnisse, ohne jedoch eine zulässige Sachverhaltsrüge zu erheben. Sie reicht dem Bundesgericht zudem zahlreiche neue Beweismittel ein und beantragt die Einvernahme verschiedener Zeugen, was im Beschwerdeverfahren nicht zulässig ist ( Art. 99 Abs. 1 BGG ). Ausserdem beruft sie sich in unzulässiger Weise auf Vorgänge, die sich nach dem angefochtenen Entscheid zugetragen haben sollen. Die einzige zulässige Rüge, dass Art. 697h Abs. 2 OR , auf den die Vorinstanz ihren Entscheid stützte, per 1. Januar 2013 (d.h. während des laufenden Verfahrens) aufgehoben wurde und somit im Zeitpunkt des Entscheids nicht mehr in Kraft war, vermag am Ergebnis nichts zu ändern. Die Bestimmung wurde durch Art. 958e Abs. 2 OR ersetzt, der die bisherige aktienrechtliche Regelung zum Einsichtsrecht des Gläubigers unabhängig von der Rechtsform des Unternehmens weiterführen soll (Botschaft zur Änderung des Obligationenrechts [Aktienrecht und Rechnungslegungsrecht sowie Anpassungen im Recht der Kollektiv- und der Kommanditgesellschaft, im GmbH-Recht, Genossenschafts-, Handelsregister- sowie Firmenrecht] vom 21. Dezember 2007, BBl 2007 1704). Die Beschwerdeführerin bringt zu Recht nicht vor, dass das Einsichtsrecht des Gläubigers nach Art. 958e Abs. 2 OR verglichen mit der bisherigen Regelung weniger weit gehen bzw. strengeren Voraussetzungen unterliegen würde. Im Ergebnis kann daher - wie die Vorinstanz in ihrer Vernehmlassung zutreffend vorbringt - offenbleiben, welche der beiden Bestimmungen übergangsrechtlich anzuwenden gewesen wäre. Die Beschwerde wäre somit abzuweisen gewesen, soweit darauf hätte eingetreten werden können.</w:t>
      </w:r>
    </w:p>
    <w:p>
      <w:r>
        <w:rPr>
          <w:b/>
        </w:rPr>
        <w:t>E. 2</w:t>
      </w:r>
    </w:p>
    <w:p>
      <w:r>
        <w:t>Auf die Beschwerde ist demnach nicht einzutreten. Dem Ausgang des Verfahrens entsprechend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