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240/2009 vom 16. Dezember 2009</w:t>
      </w:r>
    </w:p>
    <w:p>
      <w:r>
        <w:t>Bundesgericht, 2009-12-16, DE</w:t>
      </w:r>
    </w:p>
    <w:p>
      <w:r>
        <w:rPr>
          <w:b/>
        </w:rPr>
        <w:t xml:space="preserve">Quelle: </w:t>
      </w:r>
      <w:r>
        <w:t>https://mcp.opencaselaw.ch/entscheid/bger_4A_240_2009</w:t>
      </w:r>
    </w:p>
    <w:p>
      <w:r>
        <w:t>FR: TF 4A 240/2009 du 16 décembre 2009</w:t>
      </w:r>
    </w:p>
    <w:p>
      <w:r>
        <w:t>IT: TF 4A 240/2009 del 16 dicembre 2009</w:t>
      </w:r>
    </w:p>
    <w:p>
      <w:pPr>
        <w:pStyle w:val="Heading2"/>
      </w:pPr>
      <w:r>
        <w:t>Regeste</w:t>
      </w:r>
    </w:p>
    <w:p>
      <w:r>
        <w:t>Internationales Schiedsgericht | Schiedsgerichtsbarkeit</w:t>
      </w:r>
    </w:p>
    <w:p>
      <w:pPr>
        <w:pStyle w:val="Heading2"/>
      </w:pPr>
      <w:r>
        <w:t>Erwägungen</w:t>
      </w:r>
    </w:p>
    <w:p>
      <w:r>
        <w:rPr>
          <w:b/>
        </w:rPr>
        <w:t>E. 1</w:t>
      </w:r>
    </w:p>
    <w:p>
      <w:r>
        <w:t>Die Beschwerde in Zivilsachen ist gegen Entscheide von Schiedsgerichten unter den Voraussetzungen der Art. 190-192 IPRG zulässig ( Art. 77 Abs. 1 BGG ).</w:t>
      </w:r>
    </w:p>
    <w:p>
      <w:r>
        <w:rPr>
          <w:b/>
        </w:rPr>
        <w:t>E. 1.1</w:t>
      </w:r>
    </w:p>
    <w:p>
      <w:r>
        <w:t>Der Sitz des Schiedsgerichts befindet sich vorliegend in Zürich. Die Parteien haben ihren Sitz nicht in der Schweiz. Da sie die Bestimmungen des 12. Kapitels des IPRG nicht schriftlich ausgeschlossen haben, gelangen diese zur Anwendung ( Art. 176 Abs. 1 und 2 IPRG ).</w:t>
      </w:r>
    </w:p>
    <w:p>
      <w:r>
        <w:rPr>
          <w:b/>
        </w:rPr>
        <w:t>E. 1.2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wie schon im Rahmen der altrechtlichen staatsrechtlichen Beschwerde, eine dahingehende Ausnahme, dass das Bundesgericht selber die Zuständigkeit oder die Unzuständigkeit des Schiedsgerichts feststellen kann ( BGE 127 III 279 E. 1b S. 282; 117 II 94 E. 4 S. 95 f.; Urteile 4A_224/2008 vom 10. Oktober 2008 E. 2.4; 4A_128/2008 vom 19. August 2008 E. 2.3). Unzulässig ist der von den Beschwerdeführerinnen über die Aufhebung von Dispositiv-Ziffern 1 sowie 3 - 5 hinaus gestellte Antrag, die Angelegenheit sei zur Neubeurteilung an das Schiedsgericht zurückzuweisen und dieses sei anzuweisen, im Sinne der Erwägungen des Bundesgerichts die Klage der Beschwerdegegnerin abzuweisen und die Widerklage der Beschwerdeführerinnen gutzuheissen. Soweit die Beschwerdeführerinnen vom Bundesgericht einen materiellen Entscheid bzw. eine konkrete Anweisung an das Schiedsgericht über die zu treffende Entscheidung begehren, ist auf den Antrag nicht einzutreten.</w:t>
      </w:r>
    </w:p>
    <w:p>
      <w:r>
        <w:rPr>
          <w:b/>
        </w:rPr>
        <w:t>E. 1.3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w:t>
      </w:r>
    </w:p>
    <w:p>
      <w:r>
        <w:t>Die Beschwerdeführerinnen rügen im Zusammenhang mit der Frage der Rechtmässigkeit ihrer Kündigung einen Verstoss gegen Art. 190 Abs. 2 lit. b bzw. lit. c IPRG.</w:t>
      </w:r>
    </w:p>
    <w:p>
      <w:r>
        <w:rPr>
          <w:b/>
        </w:rPr>
        <w:t>E. 2.1</w:t>
      </w:r>
    </w:p>
    <w:p>
      <w:r>
        <w:t>Angesichts dessen, dass die Parteien ausdrücklich vereinbart hätten, dass Schweizer Recht zur Anwendung gelange, und zwar so, wie wenn inländische Parteien ("domestic parties") betroffen wären, habe das Schiedsgericht zu Recht festgestellt, dass die Parteien die Anwendbarkeit des Wiener Kaufrechts (Übereinkommen der Vereinten Nationen über Verträge über den internationalen Warenkauf vom 11. April 1980 [WKR; SR 0.221.211.1]) rechtsgültig ausgeschlossen hätten. Dennoch habe das Schiedsgericht die Frage, ob die Vertragsverletzung der Beschwerdegegnerin als wesentliche Vertragsverletzung ("material breach") zu qualifizieren sei, nach Art. 25 WKR entschieden. Indem das Schiedsgericht die eindeutige Rechtswahl der Parteien missachtet habe, habe es seine Kompetenz mit Blick auf seine Zuständigkeit gemäss Art. 190 Abs. 2 lit. b IPRG überschritten. Im Weiteren habe es damit eine Frage entschieden, die ihm seitens der Parteien nicht unterbreitet worden sei, weshalb eine Verletzung von Art. 190 Abs. 2 lit. c IPRG vorliege.</w:t>
      </w:r>
    </w:p>
    <w:p>
      <w:r>
        <w:rPr>
          <w:b/>
        </w:rPr>
        <w:t>E. 2.2</w:t>
      </w:r>
    </w:p>
    <w:p>
      <w:r>
        <w:t>Die Rüge ist unbegründet. Abgesehen davon, dass ohnehin zweifelhaft ist, ob die von den Beschwerdeführerinnen erhobene Rüge als solche mangelnder Zuständigkeit im Sinne von Art. 190 Abs. 2 lit. b IPRG behandelt werden könnte, da sie eher das Gebiet der Rechtsanwendung betrifft, bezüglich derer lediglich die Rüge gemäss Art. 190 Abs. 2 lit. e IPRG zulässig ist (vgl. Urteil 4P.146/2004 vom 28. September 2004 E. 5.2.2; Pierre A. Karrer, in: Basler Kommentar, 2. Aufl. 2007, N. 312 zu Art. 187 IPRG ; Anton Heini, in: Zürcher Kommentar, 2. Aufl. 2004, N. 13 zu Art. 187; Berger/Kellerhals, Internationale und interne Schiedsgerichtsbarkeit in der Schweiz, 2006, Rz. 1556; a.M. Berti/Schnyder, in: Basler Kommentar, 2. Aufl. 2007, N. 39 zu Art. 190 IPRG ), erweist sich bereits die der Rüge zugrunde liegende Behauptung als unzutreffend, das Schiedsgericht habe in Abweichung des gewählten schweizerischen Rechts ausländisches Recht angewendet. Das Schiedsgericht hat nicht verkannt, dass die Parteien schweizerisches Recht auf ihr Vertragsverhältnis angewendet wissen wollten und dabei die Anwendbarkeit des Wiener Kaufrechts ausschlossen. Es hatte zur Beurteilung der Rechtmässigkeit der von den Beschwerdeführerinnen ausgesprochenen Kündigung Ziffer 3(c) der Vereinbarung vom 16. Februar 2001 auszulegen, die eine Kündigungsmöglichkeit im Fall einer wesentlichen Vertragsverletzung ("material breach") vorsieht. Nach schweizerischem Recht ist bei der Auslegung einer Vereinbarung zunächst auf den übereinstimmenden wirklichen Parteiwillen abzustellen; bei dessen Fehlen ist die Vertragsklausel in Anwendung des Vertrauensprinzips danach auszulegen, wie sie nach ihrem Wortlaut und Zusammenhang sowie den gesamten Umständen nach Treu und Glauben verstanden werden durfte und musste ( BGE 133 III 61 E. 2.2.1 S. 67; 132 III 268 E. 2.3.2 S. 274 f.; 130 III 417 E. 3.2 S. 424, 686 E. 4.3.1 S. 689; je mit Hinweisen). Das Schiedsgericht hat ausgehend von der Erwägung, dass der von den Parteien verwendete Begriff des "material breach" im traditionellen schweizerischen Vertragsrecht nicht verwendet werde, dafür gehalten, dass für dessen Auslegung die Umschreibung der wesentlichen Vertragsverletzung ("fundamental breach") nach Art. 25 WKR beigezogen werden könne, obwohl das Wiener Kaufrecht grundsätzlich nicht auf die Vereinbarung anwendbar sei und hat gleichzeitig auf Art. 7.3.1 der Unidroit Principles of International Commercial Contracts verwiesen. Es hat damit beurteilt, wie die Parteien als im internationalen Handelsverkehr tätige Unternehmen den von ihnen verwendeten Begriff verstanden bzw. verstehen durften. Das Schiedsgericht hat damit eine Vertragsauslegung nach Schweizer Recht vorgenommen und nicht entgegen der Rechtswahl der Parteien ausländisches Recht angewendet. Der Vorwurf, das Schiedsgericht habe die eindeutige Rechtswahl der Parteien missachtet und damit seine Zuständigkeit gemäss Art. 190 Abs. 2 lit. b IPRG überschritten bzw. unter Verletzung von Art. 190 Abs. 2 lit. c IPRG eine Frage entschieden, die ihm nicht unterbreitet worden sei, ist damit unbegründet. Ins Leere stösst aus diesen Gründen auch die Rüge der Verletzung des Ordre public ( Art. 190 Abs. 2 lit. e IPRG ), soweit die Beschwerdeführerinnen diese mit der angeblichen Missachtung der Rechtswahlklausel begründen.</w:t>
      </w:r>
    </w:p>
    <w:p>
      <w:r>
        <w:rPr>
          <w:b/>
        </w:rPr>
        <w:t>E. 3</w:t>
      </w:r>
    </w:p>
    <w:p>
      <w:r>
        <w:t>Die Beschwerdeführerinnen rügen hinsichtlich der Beurteilung ihrer Kündigung sodann eine Verletzung des rechtlichen Gehörs ( Art. 190 Abs. 2 lit. d IPRG ).</w:t>
      </w:r>
    </w:p>
    <w:p>
      <w:r>
        <w:rPr>
          <w:b/>
        </w:rPr>
        <w:t>E. 3.1</w:t>
      </w:r>
    </w:p>
    <w:p>
      <w:r>
        <w:t>Sie tragen hierzu vor, sie hätten nicht damit rechnen müssen, dass das Schiedsgericht den Begriff "material breach" in Übereinstimmung mit dem Wiener Kaufrecht auslegen würde, da dieses nicht dem inländischen schweizerischen Recht zuzuordnen sei. Sie hätten daher zur Anwendbarkeit von Art. 25 WKR sowie insbesondere zu den nach dieser Bestimmung relevanten Fragen der subjektiven und objektiven Vorhersehbarkeit der sich aus der Vertragsverletzung ergebenden Nachteile nicht Stellung genommen. Dass die Beschwerdeführerinnen nicht mit einer Auslegung nach dem Wiener Kaufrecht gerechnet hätten und auch nicht damit hätten rechnen müssen, ergebe sich zudem daraus, dass das Schiedsgericht in seiner Verfügung Nr. 19 vom 29. Oktober 2008 diese Frage nicht thematisiert und die Parteien nicht aufgefordert habe, dazu zu plädieren. Parteivorbringen zu Art. 25 WKR, insbesondere hinsichtlich der Vorhersehbarkeit, hätten nach Ansicht der Beschwerdeführerinnen neue tatsächliche Behauptungen erforderlich gemacht, was das Schiedsgericht anlässlich der Verhandlung vom 27. Oktober 2008 wie auch in Ziffer 1.2 Abs. 2 der Verfügung vom 29. Oktober 2008 explizit ausgeschlossen habe. Angesichts dieser Erklärungen und Anordnungen hätten die Beschwerdeführerinnen darauf vertrauen dürfen, diesbezüglich nicht weiter plädieren zu müssen. Das Vorgehen des Schiedsgerichts habe dazu geführt, dass sie sich bezüglich der erwähnten Fragen nicht hätten äussern und in das Verfahren einbringen können.</w:t>
      </w:r>
    </w:p>
    <w:p>
      <w:r>
        <w:rPr>
          <w:b/>
        </w:rPr>
        <w:t>E. 3.2</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sowie verhindert werden, dass das Argument der überraschenden Rechtsanwendung dazu missbraucht wird, eine materielle Überprüfung des Schiedsurteils durch das Bundesgericht zu erwirken ( BGE 130 III 35 E. 5 S. 39 f.; 4A_42/2007 vom 13. Juli 2007 E. 7.1; 4P.260/2000 vom 2. März 2001 E. 6b).</w:t>
      </w:r>
    </w:p>
    <w:p>
      <w:r>
        <w:rPr>
          <w:b/>
        </w:rPr>
        <w:t>E. 3.3</w:t>
      </w:r>
    </w:p>
    <w:p>
      <w:r>
        <w:t>Das Schiedsgericht hat die in der Vereinbarung vom 16. Februar 2001 enthaltene Vertragsklausel, welche die Voraussetzungen einer ausserordentlichen Kündigung umschreibt, ausgelegt und dafür gehalten, dass mangels einer wesentlichen Vertragsverletzung ("material breach") seitens der Beschwerdegegnerin die ausserordentliche Kündigung nicht gerechtfertigt gewesen sei. Die Frage, ob das Verhalten der Beschwerdegegnerin als "material breach" im Sinne der vereinbarten Klausel zu werten sei und die Vereinbarung vom 16. Februar 2001 von den Beschwerdeführerinnen vorzeitig beendigt werden durfte, war eines der Hauptargumente der Beschwerdeführerinnen gegen die Schadenersatzklage der Beschwerdegegnerin und damit eines der zentralen Themen im Rahmen des Schiedsverfahrens. Sie mussten somit davon ausgehen, dass das Schiedsgericht die vertraglichen Voraussetzungen für eine ausserordentliche Kündigung nach Ziffer 3(c) der Vereinbarung vom 16. Februar 2001 prüfen und dazu den Begriff des "material breach" auslegen würde. Sie hatten daher Anlass, sich zu dieser Frage zu äussern. Nachdem die im internationalen Handel tätigen Parteien den erwähnten Begriff nicht vertraglich umschrieben hatten und dieser im schweizerischen Vertragsrecht nicht gebräuchlich ist, war es naheliegend, für die Auslegung des Begriffs "material breach" das Verständnis im internationalen Handelsverkehr zu berücksichtigen und Art. 25 WKR sowie Art. 7.3.1 der Unidroit Principles of International Commercial Contracts beizuziehen. Die Auslegung und Anwendung von Ziffer 3(c) der Vereinbarung vom 16. Februar 2001 kam somit nicht überraschend und der Vorwurf der Gehörsverletzung ist unbegründet. Davon, dass die Beschwerdeführerinnen durch die Anordnungen des Schiedsgerichts geradezu davon abgehalten worden wären, zu den erwähnten Punkten Stellung zu nehmen, kann zudem keine Rede sein, zumal die Vorinstanz die Parteien mit besagter Verfügung vom 29. Oktober 2008 im Gegenteil aufgefordert hatte, sich auch in rechtlicher Hinsicht nochmals umfassend zur Streitsache zu äussern.</w:t>
      </w:r>
    </w:p>
    <w:p>
      <w:r>
        <w:rPr>
          <w:b/>
        </w:rPr>
        <w:t>E. 4</w:t>
      </w:r>
    </w:p>
    <w:p>
      <w:r>
        <w:t>Die Beschwerdeführerinnen rügen im Zusammenhang mit ihrer Kündigung im Weiteren eine Verletzung des Ordre public ( Art. 190 Abs. 2 lit. e IPRG ).</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w:t>
      </w:r>
    </w:p>
    <w:p>
      <w:r>
        <w:rPr>
          <w:b/>
        </w:rPr>
        <w:t>E. 4.2</w:t>
      </w:r>
    </w:p>
    <w:p>
      <w:r>
        <w:t>Die Beschwerdeführerinnen berufen sich zu Unrecht auf eine Verletzung des Grundsatzes, dass Dauerschuldverhältnisse aus wichtigen Gründen vorzeitig beendigt werden dürfen (vgl. Urteil 4P.172/1999 vom 17. Februar 2000 E. 5d). Sie räumen selbst ein, dass ihnen das Schiedsgericht nicht grundsätzlich das Recht abgesprochen hat, die Vereinbarung mit der Beschwerdegegnerin ausserordentlich zu kündigen. Vielmehr ist es von der Zulässigkeit einer vorzeitigen Beendigung des Vertragsverhältnisses ausgegangen, hat jedoch dafür gehalten, dass deren Voraussetzungen mangels einer wesentlichen Vertragsverletzung ("material breach") nicht erfüllt seien. Die Beschwerdeführerinnen verkennen mit ihren weiteren Vorbringen zur vertraglichen Preisoffenlegungspflicht, dass es dem Bundesgericht nicht zusteht, das Auslegungsergebnis, zu dem das Schiedsgericht gelangt ist, auf seine Recht- oder Verfassungsmässigkeit (Willkürverbot) zu überprüfen. Sie kritisieren in appellatorischer Weise die Erwägung der Vorinstanz, wonach die Beschwerdegegnerin trotz unterbliebener Offenlegung der FCA Kaufpreise keine wesentliche Vertragspflicht verletzt habe und die von den Beschwerdeführerinnen ausgesprochene Kündigung daher ungerechtfertigt sei. Abgesehen davon machen sie nunmehr vor Bundesgericht eine unzumutbare Einschränkung ihrer Persönlichkeitsrechte geltend, ohne aufzuzeigen, inwiefern sie sich neben dem Kündigungsgrund des "material breach" bereits im Schiedsverfahren auf entsprechende Behauptungen berufen hätten. Entgegen der in der Beschwerde geäusserten Ansicht hat das Schiedsgericht den Ordre public nicht verletzt, wenn es die Verletzung der Preisoffenlegungspflicht der Beschwerdegegnerin nicht als "material breach" qualifizierte und den Beschwerdeführerinnen gestützt darauf die Berechtigung zur fristlosen Kündigung absprach.</w:t>
      </w:r>
    </w:p>
    <w:p>
      <w:r>
        <w:rPr>
          <w:b/>
        </w:rPr>
        <w:t>E. 4.3</w:t>
      </w:r>
    </w:p>
    <w:p>
      <w:r>
        <w:t>Auch mit dem Einwand, das Schiedsgericht habe gegen den Ordre public verstossen, weil im Zeitpunkt der Kündigung mangels Bestimmbarkeit des Kaufpreises keine vertragliche Lieferverpflichtung der Beschwerdeführerinnen mehr bestanden habe, üben sie lediglich appellatorische Kritik am angefochtenen Entscheid. Sie stellen damit in unzulässiger Weise die Erwägung des Schiedsgerichts in Frage, wonach der Preis aufgrund der vertraglichen Vorgaben auch im Fall der Überschreitung des Höchstpreises von USD 116.-- genügend bestimmbar gewesen sei. Wenn die Vorinstanz den Schadenersatz infolge ungerechtfertigter Kündigung entsprechend in Anwendung von Art. 42 Abs. 2 OR festsetzte, missachtete sie entgegen der Ansicht der Beschwerdeführerinnen den Grundsatz der Privatautonomie nicht. Ein Verstoss gegen den Ordre public ( Art. 190 Abs. 2 lit. e IPRG ) ist nicht dargetan.</w:t>
      </w:r>
    </w:p>
    <w:p>
      <w:r>
        <w:rPr>
          <w:b/>
        </w:rPr>
        <w:t>E. 5</w:t>
      </w:r>
    </w:p>
    <w:p>
      <w:r>
        <w:t>Die Beschwerdeführerinnen machen schliesslich im Zusammenhang mit dem vom Schiedsgericht verworfenen Force Majeure-Einwand, dem Schadenersatzanspruch der Beschwerdegegnerin sowie der von ihnen erhobenen Widerklage eine Verletzung ihres Gehörsanspruchs ( Art. 190 Abs. 2 lit. d IPRG ) bzw. des Ordre public ( Art. 190 Abs. 2 lit. e IPRG ) geltend.</w:t>
      </w:r>
    </w:p>
    <w:p>
      <w:r>
        <w:rPr>
          <w:b/>
        </w:rPr>
        <w:t>E. 5.1</w:t>
      </w:r>
    </w:p>
    <w:p>
      <w:r>
        <w:t>Nach der Rechtsprechung des Bundesgerichts reicht eine offensichtlich falsche oder aktenwidrige Feststellung für sich allein nicht aus, um einen internationalen Schiedsentscheid aufzuheben. Der Anspruch auf rechtliches Gehör enthält keinen Anspruch auf einen materiell richtigen Entscheid. Daher ist es nicht Sache des Bundesgerichts zu überprüfen, ob das Schiedsgericht sämtliche Aktenstellen berücksichtigt und richtig verstanden hat. Erforderlich ist eine formelle Rechtsverweigerung in dem Sinne, dass das rechtliche Gehör der Partei durch das offensichtliche Versehen faktisch ausgehöhlt wurde und die Partei im Ergebnis nicht besser dasteht, als wenn ihr das rechtliche Gehör zu einer entscheidwesentlichen Frage überhaupt nicht gewährt worden wäre. Wer aus einem offensichtlichen Versehen eine Verletzung des rechtlichen Gehörs ableiten will, hat demnach aufzuzeigen, dass ihm das richterliche Versehen verunmöglichte, seinen Standpunkt in Bezug auf ein prozessrelevantes Thema in den Prozess einzubringen und zu beweisen ( BGE 133 III 235 E. 5.2 S. 248 f.; 127 III 576 E. 2b-f).</w:t>
      </w:r>
    </w:p>
    <w:p>
      <w:r>
        <w:rPr>
          <w:b/>
        </w:rPr>
        <w:t>E. 5.2.1</w:t>
      </w:r>
    </w:p>
    <w:p>
      <w:r>
        <w:t>Das Schiedsgericht hielt im Zusammenhang mit dem Force Majeure-Einwand der Beschwerdeführerinnen hinsichtlich ihrer Lieferverpflichtung vom Oktober 2005 fest, diese hätten nicht hinreichend substantiiert, dass die von ihnen behauptete Trockenheit eine Force Majeure-Situation darstellen würde; so hätten sie es etwa unterlassen, statistische Informationen einzureichen, die zeigten, dass die meteorologische Situation in der Region Zeerust im relevanten Zeitraum erheblich und unvorhersehbar von den normalen Fluktuationen abwich. Was die Beschwerdeführerinnen hiergegen vorbringen, ist nicht geeignet, eine Gehörsverletzung darzutun. Auch die von ihnen in der Beschwerdeschrift aufgelisteten Vorbringen im Rahmen des Schiedsverfahrens zeigen nicht konkret auf, inwieweit die Niederschlagsmenge im massgebenden Zeitraum von den meteorologischen Werten abwich, sondern beschreiben lediglich in allgemeiner Weise die angeblichen Produktionsprobleme infolge Trockenheit. Einen Bezug zu üblichen saisonalen Fluktuationen stellen ihre Behauptungen nicht her. Inwiefern das Schiedsgericht die Vorbringen der Beschwerdeführerinnen in einer Weise übersehen haben soll, die es ihnen verunmöglichte, ihren Standpunkt hinsichtlich der Frage der Force Majeure-Situation in das Verfahren einzubringen, ist nicht dargetan. In Tat und Wahrheit zielen die Ausführungen der Beschwerdeführerinnen nicht auf die tatsächlichen Feststellungen des Schiedsgerichts ab, sondern stellen dessen rechtliche Würdigung hinsichtlich der Substantiierung des behaupteten Rechtshinderungsgrunds in Frage. Die Rüge geht fehl.</w:t>
      </w:r>
    </w:p>
    <w:p>
      <w:r>
        <w:rPr>
          <w:b/>
        </w:rPr>
        <w:t>E. 5.2.2</w:t>
      </w:r>
    </w:p>
    <w:p>
      <w:r>
        <w:t>Die Beschwerdeführerinnen zeigen zudem keine Gehörsverletzung auf, wenn sie vorbringen, die Beschwerdegegnerin habe, soweit ersichtlich, nie bestritten, dass die Mine der Beschwerdeführerin 2 im Winter 2005 und namentlich im Oktober/November 2005 unter einer derart ausgeprägten Trockenheit zu leiden gehabt habe, dass ihre Produktion erheblich eingeschränkt worden sei. Sie legen nicht dar, welches ihrer eigenen Vorbringen damit im schiedsgerichtlichen Verfahren übergangen worden wäre und inwiefern sie selbst ihren Standpunkt nicht hätten in das Verfahren einbringen können.</w:t>
      </w:r>
    </w:p>
    <w:p>
      <w:r>
        <w:rPr>
          <w:b/>
        </w:rPr>
        <w:t>E. 5.2.3</w:t>
      </w:r>
    </w:p>
    <w:p>
      <w:r>
        <w:t>Wenn die Beschwerdeführerinnen im Weiteren vorbringen, das Schiedsgericht habe eine Force Majeure-Situation zufolge ihrer Lieferungen an andere Abnehmer zu Unrecht verneint und es habe unzutreffend festgestellt, das Exportvolumen der Beschwerdeführerinnen sei erst im November/Dezember 2005 gesunken, zeigen sie ebenfalls keine Gehörsverletzung auf. Sie kritisieren vielmehr unter Berufung auf verschiedene angeblich "offensichtliche Versehen" und "offensichtlich falsche und aktenwidrige Feststellungen" die Schlüsse der Vorinstanz, begründen jedoch nicht, inwiefern ihnen verunmöglicht worden sein soll, ihren Standpunkt hinsichtlich der Frage der Force Majeure-Situation in das Verfahren einzubringen.</w:t>
      </w:r>
    </w:p>
    <w:p>
      <w:r>
        <w:rPr>
          <w:b/>
        </w:rPr>
        <w:t>E. 5.3</w:t>
      </w:r>
    </w:p>
    <w:p>
      <w:r>
        <w:t>Das Schiedsgericht hat erwogen, dass für Flussspat angesichts der in der Zeitschrift "Industrial Minerals" publizierten Preise ein Verkäuflichkeitspreis im Sinn von Art. 191 Abs. 3 OR bestehe. Entsprechend hat es der Beschwerdegegnerin zugestanden, ihren Schadenersatzanspruch ohne den Nachweis konkreter Deckungskäufe nach der Differenz zwischen dem vertraglich geschuldeten Preis und dem Verkäuflichkeitspreis zu berechnen. Die Beschwerdeführerinnen verkennen die Begründungsanforderungen an eine Gehörsrüge (Art. 77 Abs. 3 i.V.m. Art. 106 Abs. 2 BGG ) sowie den Umfang der bundesgerichtlichen Überprüfungsbefugnis, wenn sie eine Behauptung der Beschwerdegegnerin sowie eigene ausführliche Vorbringen zur Frage des Marktpreises im Rahmen des Schiedsverfahrens vor Bundesgericht wörtlich wiederholen, gestützt darauf geltend machen, das Schiedsgericht habe sich mit diesen Darlegungen nicht bzw. nur unzureichend auseinandergesetzt und anschliessend hinsichtlich des Beweisergebnisses sowie der Anwendung von Art. 191 Abs. 3 OR vom angefochtenen Entscheid abweichende Schlüsse ziehen. Damit kritisieren sie - wiederum unter Berufung auf verschiedene angeblich "offensichtliche Versehen" und "offensichtlich falsche und aktenwidrige Feststellungen" - lediglich in appellatorischer Weise das Beweisergebnis sowie die rechtliche Beurteilung des Schiedsgerichts. Auch mit ihrer Behauptung, die Darlegungen der Beschwerdegegnerin zur Frage des Marktpreises seien nicht gehörig substantiiert gewesen, machen sie keine Gehörsverletzung geltend. Die Beschwerdeführerinnen legen einfach ihren eigenen Standpunkt nochmals dar und behaupten, dieser sei durch die Akten erstellt. Dies ist im Rahmen der Schiedsbeschwerde nicht zulässig. Die Beschwerdeführerinnen verkennen mit ihren Vorbringen zudem, dass es nicht Sache des Bundesgerichts ist zu überprüfen, ob das Schiedsgericht sämtliche Aktenstellen berücksichtigt und richtig verstanden hat ( BGE 133 III 235 E. 5.2 S. 249; 127 III 576 E. 2 S. 578). Dass das Schiedsgericht zu den verschiedenen Argumenten der Beschwerdeführerinnen, weshalb nach ihrer Ansicht kein Verkäuflichkeitspreis im Sinne von Art. 191 Abs. 3 OR bestehe, nicht ausdrücklich Stellung genommen hat, verletzt den Gehörsanspruch nicht. Das Schiedsgericht hat die Hauptargumente der Beschwerdeführerinnen im angefochtenen Entscheid unter Verweis auf ihren 1. Post-Hearing Brief zusammengefasst und eingehend begründet, weshalb ein Verkäuflichkeitspreis nach Art. 191 Abs. 3 OR vorliege. Einer ausdrücklichen Widerlegung sämtlicher Argumente der Beschwerdeführerinnen bedurfte es nicht (vgl. BGE 134 III 186 E. 6.2 S. 188). Ebenso wenig hätte das Schiedsgericht die Parteien in seiner Verfügung vom 29. Oktober 2008 nochmal eigens auffordern müssen, weitere Darlegungen zum Vorliegen eines Marktpreises bzw. zur Frage zu machen, ob aus der Zeitschrift "Industrial Minerals" auf einen solchen geschlossen werden könne. Die Gehörsrüge im Zusammenhang mit dem Schadenersatzanspruch der Beschwerdegegnerin stösst ins Leere.</w:t>
      </w:r>
    </w:p>
    <w:p>
      <w:r>
        <w:rPr>
          <w:b/>
        </w:rPr>
        <w:t>E. 5.4</w:t>
      </w:r>
    </w:p>
    <w:p>
      <w:r>
        <w:t>Die Beschwerdeführerinnen rügen hinsichtlich ihrer Widerklage sowohl eine Verletzung ihres Gehörsanspruchs als auch des Ordre public.</w:t>
      </w:r>
    </w:p>
    <w:p>
      <w:r>
        <w:rPr>
          <w:b/>
        </w:rPr>
        <w:t>E. 5.4.1</w:t>
      </w:r>
    </w:p>
    <w:p>
      <w:r>
        <w:t>Das Schiedsgericht hat erwogen, dass die Beschwerdegegnerin die von ihr berechneten Preise der Beschwerdeführerin 2 zwar ohne Berechnungsgrundlagen übermittelte, dass Letztere jedoch bis Oktober 2005 ihre Rechnungen jeweils gestützt darauf ohne jegliche Vorbehalte hinsichtlich einer Nachberechnung des Preises ausstellte. Dieses Verhalten sei nach Treu und Glauben als unbedingte Zustimmung der Beschwerdeführerin 2 zu den von der Beschwerdegegnerin festgesetzten Preisen zu werten. Mit jeder vorbehaltlosen Rechnungsstellung habe die Beschwerdeführerin 2 auf eine nachträgliche Überprüfung der gestellten Preise anhand der vereinbarten Preisberechnungsformel verzichtet. Ein offensichtliches Versehen bzw. eine aktenwidrige Feststellung, die zu einem anderen Ergebnis führen würde, ergibt sich aus den Vorbringen der Beschwerdeführerinnen nicht. Sie wehren sich gegen die vorinstanzliche Feststellung in anderem Zusammenhang, wonach unbestritten sei, dass die Beschwerdeführerin 2 ihr erstes formelles Begehren um Offenlegung der FCA Preise für die Jahre 2002 - 2004 am 12. Oktober 2005 gestellt habe, und bringen hiergegen mit Verweis auf ihre Eingaben sowie verschiedene Aktenstücke vor, sie hätten im schiedsgerichtlichen Verfahren geltend gemacht, die Beschwerdegegnerin schon vor Beginn des Vertragsjahres 2002 aufgefordert zu haben, die FCA Preise bekannt zu geben, damit der Preis für das Vertragsjahr 2002 errechnet werden könne bzw. sie hätten am 19. Juni 2003 erneut die Bekanntgabe der FCA Preise verlangt, um den Preis für das Vertragsjahr 2003 zu berechnen. Weder diese Behauptungen noch die in der 1. Rechtsschrift sowie dem 1. Post-Hearing Brief erwähnten weiteren Versuche, die Beschwerdegegnerin zur Bekanntgabe der FCA Preise anzuhalten, waren jedoch entscheidend für die Erwägung des Schiedsgerichts, es sei von einem Verzicht der Beschwerdeführerinnen auf Nachprüfung auszugehen. Wie die Beschwerdegegnerin zu Recht einwendet, beziehen sich die erwähnten Aufforderungen lediglich auf die Bekanntgabe der Preise für das laufende oder kommende Vertragsjahr, jedoch nicht auf die rückwirkende Offenlegung der zugrunde liegenden FCA Preise für die Nachberechnung anhand der Preisberechnungsformel. Es ist daher kein offensichtlicher Widerspruch zur Feststellung des Schiedsgerichts erkennbar, die Beschwerdeführerin 2 habe bis Oktober 2005 jeweils anhand der von der Beschwerdegegnerin berechneten Preise und ohne Vorbehalt hinsichtlich einer Nachberechnung gemäss der vertraglichen Preisberechnungsformel Rechnungen ausgestellt. Mangels aktenwidriger bzw. offensichtlich unrichtiger Sachverhaltsfeststellung im Zusammenhang mit der von der Vorinstanz angenommenen vorbehaltlosen Zustimmung der Beschwerdeführerin 2 zur Preisfestsetzung der Beschwerdegegnerin erweist sich auch die darauf gestützte Gehörsrüge als unbegründet.</w:t>
      </w:r>
    </w:p>
    <w:p>
      <w:r>
        <w:rPr>
          <w:b/>
        </w:rPr>
        <w:t>E. 5.4.2</w:t>
      </w:r>
    </w:p>
    <w:p>
      <w:r>
        <w:t>Die Beschwerdeführerinnen begründen ihre Gehörsrüge sodann damit, das Schiedsgericht habe zu Unrecht gefolgert, sie hätten aufgrund des öffentlich zur Verfügung stehenden Zahlenmaterials die Preise abschätzen können, welche die Beschwerdegegnerin anderen Lieferanten bezahlt habe. Sie zeigen jedoch nicht auf, inwiefern ihnen das behauptete offensichtliche Versehen verunmöglichte, ihren Standpunkt in Bezug auf ein prozessrelevantes Thema in den Prozess einzubringen und zu beweisen ( BGE 133 III 235 E. 5.2 S. 248 f.; 127 III 576 E. 2b-f).</w:t>
      </w:r>
    </w:p>
    <w:p>
      <w:r>
        <w:rPr>
          <w:b/>
        </w:rPr>
        <w:t>E. 5.4.3</w:t>
      </w:r>
    </w:p>
    <w:p>
      <w:r>
        <w:t>Die Beschwerdeführerinnen werfen der Vorinstanz schliesslich auch in diesem Zusammenhang zu Unrecht unter Berufung auf den Grundsatz von Treu und Glauben eine Verletzung des Ordre public ( Art. 190 Abs. 2 lit. e IPRG ) vor. Sie kritisieren unter Hinweis auf verschiedene andere Erwägungen des angefochtenen Entscheids sowie eigene Vorbringen im Rahmen des Schiedsverfahrens die vorinstanzlichen Schlussfolgerungen, das Verhalten der Beschwerdeführerin 2 sei als Verzicht auf eine Nachkalkulation zu werten bzw. die Beschwerdegegnerin habe die Beschwerdeführerinnen nicht nach Art. 28 Abs. 1 OR getäuscht und unterbreiten dem Bundesgericht ihre eigene Sicht der Dinge. Das Schiedsgericht hat das Verhalten der Beschwerdeführerin 2 unter Berücksichtigung des Umstands, dass die Beschwerdegegnerin die FCA Preise entgegen der Vereinbarung vom 16. Februar 2001 nicht offenlegte und die von ihr bezahlten Preise der Beschwerdeführerin 2 ohne Berechnungsgrundlagen übermittelte, nach dem Vertrauensprinzip gewürdigt und einen Verzicht auf Nachkalkulation angenommen. Es hat dabei den Grundsatz von Treu und Glauben berücksichtigt, jedoch andere Schlüsse gezogen als die Beschwerdeführerinnen. Ihre Vorbringen zielen darauf ab, die wesentlichen Sachverhaltsfeststellungen sowie die rechtliche Beurteilung des Verhaltens der Beschwerdeführerin 2 bei der Rechnungsstellung im angefochtenen Entscheid zu kritisieren, was im Beschwerdeverfahren nicht zulässig ist, da das Bundesgericht auch im Rahmen der Rüge der Ordre public-Widrigkeit ( Art. 190 Abs. 2 lit. e IPRG ) Tat- und Rechtsfragen nicht wie eine Berufungsinstanz überprüfen kann (vgl. dazu E. 4.1).</w:t>
      </w:r>
    </w:p>
    <w:p>
      <w:r>
        <w:rPr>
          <w:b/>
        </w:rPr>
        <w:t>E. 6</w:t>
      </w:r>
    </w:p>
    <w:p>
      <w:r>
        <w:t>Die Beschwerde ist abzuweisen, soweit darauf eingetreten werden kann. Bei diesem Verfahrensausgang werden die Beschwerdeführerinnen unter solidarischer Haftbarkeit kosten- und entschädigungspflichtig (Art. 66 Abs. 1 und 5 sowie Art. 68 Abs. 2 und 4 BGG ). Die Parteientschädigung ist auf Fr. 35'000.-- festzusetzen und aus der an die Gerichtskasse bezahlten Sicherheitsleistung auszurichten. Diese Entschädigung erscheint entgegen der Ansicht der Beschwerdegegnerin auch unter Berücksichtigung der verschiedenen Eingaben der Beschwerdeführerinnen zur Frage der aufschiebenden Wirkung sowie des Umfangs der Beschwerde als angemessen (vgl. Art. 3 Abs. 1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