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4A_23/2024 vom 21. März 2024</w:t>
      </w:r>
    </w:p>
    <w:p>
      <w:r>
        <w:t>Bundesgericht, 2024-03-21, DE</w:t>
      </w:r>
    </w:p>
    <w:p>
      <w:r>
        <w:rPr>
          <w:b/>
        </w:rPr>
        <w:t xml:space="preserve">Quelle: </w:t>
      </w:r>
      <w:r>
        <w:t>https://mcp.opencaselaw.ch/entscheid/bger_4A_23_2024</w:t>
      </w:r>
    </w:p>
    <w:p>
      <w:r>
        <w:t>FR: TF 4A_23/2024 du 21 mars 2024</w:t>
      </w:r>
    </w:p>
    <w:p>
      <w:r>
        <w:t>IT: TF 4A_23/2024 del 21 marzo 2024</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Unbestritten ist, dass der Beschwerdegegner den Versicherungsfall nachweisen muss, und zwar mit dem herabgesetzten Beweismass der überwiegenden Wahrscheinlichkeit. Die Vorinstanz nahm im angefochtenen, über 50-seitigen Urteil eine ausführliche Beweiswürdigung vor und kam zum Schluss, dass dem Beschwerdegegner dieser Beweis gelungen sei. Vor Bundesgericht bezieht sich die Beschwerdeführerin zwar formell auf die Erwägungen der Vorinstanz. Sie verkennt dabei aber, dass das Bundesgericht keine Appellationsinstanz ist, die den Prozessstoff nach dem Handelsgericht ein zweites Mal umfassend beurteilt. Es greift nur ein, wenn eine Bundesrechtsverletzung klar und detailliert aufgezeigt ist (vgl. Erwägung 2). Dies gelingt der Beschwerdeführerin über weiteste Strecken nicht.</w:t>
      </w:r>
    </w:p>
    <w:p>
      <w:r>
        <w:rPr>
          <w:b/>
        </w:rPr>
        <w:t>E. 3.1</w:t>
      </w:r>
    </w:p>
    <w:p>
      <w:r>
        <w:t>Die Beschwerdeführerin genügt den Begründungsanforderungen nicht, wenn sie die Beweiswürdigung der Vorinstanz kritisiert und dabei lediglich ihre eigene Auffassung schildert, wonach der Beschwerdegegner den Unfall inszeniert habe. Sie setzt sich diesbezüglich nicht rechtsgenüglich mit den ausführlichen Erwägungen der Vorinstanz auseinander, geschweige denn zeigt sie auf, inwiefern die vorinstanzliche Beweiswürdigung offensichtlich unrichtig im oben genannten Sinn sein soll (Erwägung 2.1).</w:t>
      </w:r>
    </w:p>
    <w:p>
      <w:r>
        <w:rPr>
          <w:b/>
        </w:rPr>
        <w:t>E. 3.2</w:t>
      </w:r>
    </w:p>
    <w:p>
      <w:r>
        <w:t>Das Gleiche gilt, wenn die Beschwerdeführerin den Entscheid der Vorinstanz pauschal als "Inbegriff der Widersprüchlichkeit", "völlig widersprüchlich", überspitzt formalistisch und willkürlich qualifiziert oder behauptet, dass die Vorinstanz in "nicht ganz nachvollziehbarer Manier" geurteilt habe, ohne sich aber hinreichend mit den jeweiligen ausführlichen Erwägungen der Vorinstanz auseinander zu setzen und ohne diese Vorwürfe rechtsgenüglich zu begründen.</w:t>
      </w:r>
    </w:p>
    <w:p>
      <w:r>
        <w:rPr>
          <w:b/>
        </w:rPr>
        <w:t>E. 3.3</w:t>
      </w:r>
    </w:p>
    <w:p>
      <w:r>
        <w:t>Die Beschwerdeführerin wendet sich gegen den von der Vorinstanz abgewiesenen Editionsantrag bezüglich der Fahrzeugdaten bei der C.________ AG und dem vorinstanzlichen Verzicht auf die Befragung von dipl.Ing. D.________. Ebenso kritisiert sie die Nichteinvernahme von Zeugen bezüglich der Auslegung der Daten. Die Vorinstanz legte auch diesbezüglich dar, aus welchen Gründen sie auf die Beweisabnahmen verzichtete. Dagegen qualifiziert die Beschwerdeführerin den Verzicht bloss pauschal als willkürlich oder überspitzt formalistisch, ohne diese Vorwürfe nachvollziehbar und rechtsgenüglich zu begründen.</w:t>
      </w:r>
    </w:p>
    <w:p>
      <w:r>
        <w:rPr>
          <w:b/>
        </w:rPr>
        <w:t>E. 3.4</w:t>
      </w:r>
    </w:p>
    <w:p>
      <w:r>
        <w:t>Die Beschwerdeführerin rügt schliesslich eine "krasse Verletzung" von Art. 8 ZGB , weil die Vorinstanz den von ihr anerbotenen Zeugenbefragungen der Schadenexperten nicht gefolgt sei. Weshalb den Zeugen die Beweiseignung abgehe, begründe die Vorinstanz nicht. Sie verletze auch hier das Willkürverbot und handle überspitzt formalistisch.</w:t>
      </w:r>
    </w:p>
    <w:p>
      <w:r>
        <w:t>Diese Rügen gehen fehl. Es ist nicht korrekt, wenn die Beschwerdeführerin behauptet, die Vorinstanz habe die Ablehnung der Zeugen nicht begründet. Vielmehr legte die Vorinstanz auch hier dar, aus welchen Gründen sie auf die Einvernahme der genannten Zeugen verzichtete. Sie führte aus, dass die Frage der Vereinbarkeit eines Schadensbilds mit einer Unfallschilderung ohne Weiteres zum Gegenstand eines gerichtlichen Gutachtens gemacht werden könne und die Einvernahme eines privaten Sachverständigen als Zeugen zum Nachweis nicht geeignet sei (angefochtener Entscheid E. 2.3.1 S. 21). Mit diesen Erwägungen setzt sich die Beschwerdeführerin vor Bundesgericht nicht rechtsgenüglich auseinander. Sie zeigt zudem nicht nachvollziehbar auf, inwiefern diesbezüglich Art. 8 ZGB verletzt oder dieser Entscheid der Vorinstanz offensichtlich unrichtig, geschweige denn überspitzt formalistisch sein soll.</w:t>
      </w:r>
    </w:p>
    <w:p>
      <w:r>
        <w:rPr>
          <w:b/>
        </w:rPr>
        <w:t>E. 4</w:t>
      </w:r>
    </w:p>
    <w:p>
      <w:r>
        <w:t>Der vorinstanzliche Kosten- und Entschädigungsentscheid wird nicht unabhängig vom Ausgang des bundesgerichtlichen Beschwerdeverfahrens angefochten. Da der Beschwerde nach dem Gesagten kein Erfolg beschieden ist, bleibt es ohne Weiteres bei den vorinstanzlichen Kosten- und Entschädigungsfolgen.</w:t>
      </w:r>
    </w:p>
    <w:p>
      <w:r>
        <w:rPr>
          <w:b/>
        </w:rPr>
        <w:t>E. 5</w:t>
      </w:r>
    </w:p>
    <w:p>
      <w:r>
        <w:t>Das Gesuch vom 19. Februar 2024um Erteilung der aufschiebenden Wirkung wird mit dem Entscheid in der Sache selbst gegenstandslos.</w:t>
      </w:r>
    </w:p>
    <w:p>
      <w:r>
        <w:rPr>
          <w:b/>
        </w:rPr>
        <w:t>E. 6</w:t>
      </w:r>
    </w:p>
    <w:p>
      <w:r>
        <w:t>Die Beschwerde ist nach dem Gesagten abzuweisen, soweit darauf überhaupt eingetreten werden kann. Dem Ausgang des Verfahrens entsprechend wird die Beschwerdeführerin kosten- und entschädigungspflichtig ( Art. 66 Abs. 1 und Art. 68 Abs. 2 BGG ). Der Beschwerdegegner reichte bloss eine zweiseitige Eingabe ein, in der er im Wesentlichen auf den Entscheid der Vorinstanz verwies und sich diesem anschloss. Er ist dafür mit einer reduzierten Parteientschädigung von Fr. 1'000.-- zu entschädigen.</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