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23/2021 vom 12. Dezember 2022</w:t>
      </w:r>
    </w:p>
    <w:p>
      <w:r>
        <w:t>Bundesgericht, 2022-12-12, FR</w:t>
      </w:r>
    </w:p>
    <w:p>
      <w:r>
        <w:rPr>
          <w:b/>
        </w:rPr>
        <w:t xml:space="preserve">Quelle: </w:t>
      </w:r>
      <w:r>
        <w:t>https://mcp.opencaselaw.ch/entscheid/bger_4A_23_2021</w:t>
      </w:r>
    </w:p>
    <w:p>
      <w:r>
        <w:t>FR: TF 4A 23/2021 du 12 décembre 2022</w:t>
      </w:r>
    </w:p>
    <w:p>
      <w:r>
        <w:t>IT: TF 4A 23/2021 del 12 dicembre 2022</w:t>
      </w:r>
    </w:p>
    <w:p>
      <w:pPr>
        <w:pStyle w:val="Heading2"/>
      </w:pPr>
      <w:r>
        <w:t>Regeste</w:t>
      </w:r>
    </w:p>
    <w:p>
      <w:r>
        <w:t>contrat d'entreprise; défaut, réduction du prix, | Droit des obligations (en général)</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141 III 86 consid. 2; 140 III 115 consid. 2; 137 III 580 consid. 1.3). Les critiques de nature appellatoire sont irrecevables ( ATF 145 IV 154 consid. 1.1; 142 III 364 consid. 2.4; 140 III 264 consid. 2.3).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la critique ne satisfait pas à ces exigences, les allégations relatives à un état de fait qui s'écarterait de celui de la décision attaquée ne pourront pas être prises en considération ( ATF 140 III 16 consid. 1.3.1 et les références).</w:t>
      </w:r>
    </w:p>
    <w:p>
      <w:r>
        <w:rPr>
          <w:b/>
        </w:rPr>
        <w:t>E. 3</w:t>
      </w:r>
    </w:p>
    <w:p>
      <w:r>
        <w:t>Les recourants ne contestent ni l'existence de défauts de l'ouvrage ni leur responsabilité à cet égard. Cette responsabilité relève du contrat d'entreprise, singulièrement de la garantie pour les défauts des art. 367 ss CO , ce qu'ils ne remettent pas non plus en question. Les intimés, en leur qualité de maîtres de l'ouvrage, pouvaient faire valoir les droits à la garantie suivants: la réfection de l'ouvrage, la réduction du prix ou la résolution du contrat. Il s'agit de droits formateurs alternatifs ( ATF 136 III 273 consid. 2.2; 109 II 40 consid. 6a). Leur choix s'est porté sur une réduction du prix, ce que nul ne remet en cause. Ce choix est en principe irrévocable ( ATF 136 III 273 consid. 2.2; 109 II 40 consid. 6a). A ce stade, le seul point encore litigieux concerne la manière dont la réduction de prix doit être calculée en rapport avec l'un des défauts, soit celui concernant l'isolation phonique entre la salle de bains et la chambre 2 ainsi qu'entre la cuisine (espace repas) et la chambre 3.</w:t>
      </w:r>
    </w:p>
    <w:p>
      <w:r>
        <w:rPr>
          <w:b/>
        </w:rPr>
        <w:t>E. 3.1</w:t>
      </w:r>
    </w:p>
    <w:p>
      <w:r>
        <w:t>Sur cette question, les juges cantonaux ont analysé tout d'abord ce dont les parties étaient convenues en cours de chantier, entre mars et octobre 2009, selon les règles ordinaires d'interprétation. A l'instar des premiers juges, ils ont considéré que la réelle et commune volonté des parties ne pouvait pas être déterminée sur ce point et ont procédé dès lors à une interprétation objective. Sur la base du plan " combles " dans son état au 6 octobre 2009, ils ont considéré que les demandeurs pouvaient légitimement s'attendre à ce que les murs en question offrent une isolation phonique de 55 dB, puisque cette valeur y figurait en toutes lettres. Les défendeurs devaient, de leur côté, inférer de cette indication que les demandeurs s'attendaient à avoir une valeur d'atténuation phonique effective après installation de 55 dB. Le seuil de 55 dB correspondait au demeurant à la valeur d'exigence accrue prévue par la norme SIA 181 " Protection contre le bruit dans le bâtiment " édition 2006. Il s'agissait donc d'une qualité promise dont l'entrepreneur répondait en vertu de l' art. 368 CO . Sachant que l'expertise judiciaire avait révélé que la valeur d'isolation phonique était, en réalité, de 47 dB entre la salle de bains et la chambre 2, de 48 dB entre la chambre 2 et la salle de bains et de 49 dB entre l'espace repas et la chambre 3, il y avait défaut dans la qualité convenue de l'ouvrage. S'agissant de la réduction du prix ( art. 368 al. 2 CO ), les juges cantonaux l'ont calculée de la manière suivante. Ils ont constaté que le coût d'élimination du défaut était de 50'000 fr., soit le montant estimé par l'expert judiciaire pour les travaux qui permettraient d'atteindre une isolation phonique avec un pouvoir d'atténuation de 55 dB. Ils ont considéré ensuite qu'il n'était pas possible d'inférer de l'importante différence entre cette somme et la plus-value de 3'877 fr.90 payée par les demandeurs pour les parois en cause que la valeur objective de l'ouvrage ne serait plus égale au prix payé ou que la moins-value ne serait pas égale aux coûts de suppression dudit défaut. Partant, les juges cantonaux ont estimé que les défendeurs avaient échoué à renverser les présomptions légales et que les demandeurs avaient droit à une réduction du prix égale au coût d'élimination du défaut, soit 50'000 fr.</w:t>
      </w:r>
    </w:p>
    <w:p>
      <w:r>
        <w:rPr>
          <w:b/>
        </w:rPr>
        <w:t>E. 3.2</w:t>
      </w:r>
    </w:p>
    <w:p>
      <w:r>
        <w:t>Les recourants reprochent en substance à la cour cantonale d'avoir appliqué la méthode absolue et non la méthode relative. Selon eux, l'autorité précédente aurait confondu les présomptions applicables en matière d'action en réduction du prix et le calcul à opérer pour ladite réduction. Ce ne serait pas la moins-value qui devrait fonder la réduction, mais la " proportion de la moins-value eu égard au prix convenu ". Le prix convenu serait de 3'877 fr.90. Il faudrait le multiplier par le rapport existant entre la valeur objective de l'ouvrage livré (0) et la valeur objective de l'ouvrage sans défaut, présumée égale au prix convenu (3'877 fr.90). Le prix à payer serait donc équivalent à zéro, de sorte que les demandeurs auraient tout au plus droit au remboursement de 3'877 fr.90. Leur octroyer davantage reviendrait à leur permettre de s'enrichir aux dépens des recourants.</w:t>
      </w:r>
    </w:p>
    <w:p>
      <w:r>
        <w:rPr>
          <w:b/>
        </w:rPr>
        <w:t>E. 4</w:t>
      </w:r>
    </w:p>
    <w:p>
      <w:r>
        <w:t>L' art. 368 al. 2 CO dispose que le prix doit être réduit " en proportion de la moins-value ". Cela étant, il faut distinguer la moins-value de l'ouvrage du montant de la réduction que le maître peut retrancher du prix plein en exerçant son droit à la réduction de prix. La moins-value a trait à l'ouvrage et le montant de la réduction au prix (PETER GAUCH, Der Werkvertrag, 6e éd. 2019, n° 1660 p. 757). Le droit à la réduction suppose une moins-value. La preuve en incombe au maître de l'ouvrage. Cette moins-value consiste dans la différence entre la valeur objective de l'ouvrage hypothétiquement conforme au contrat et celle de l'ouvrage effectivement livré (FRANÇOIS CHAIX, in Commentaire romand, Code des obligations I, 3e éd. 2021, n° 29-31 ad art. 368 CO ; GAUCH, op. cit., n° 1627-1628 p. 748). En général, la valeur objective d'un ouvrage se détermine d'après sa valeur commerciale ou vénale ( ATF 105 II 99 consid. 4a; CHAIX, op. cit., n° 31 ad art. 368 CO ; GAUCH, op. cit., n° 1628 p 748). Lorsqu'une moins-value objective est établie, le droit à la réduction existe même si la valeur de l'ouvrage avec le défaut atteint ou dépasse le prix convenu (GAUCH, op. cit., n° 1628 et n° 1631 p. 748/749; TERCIER/BIERI/CARRON, Les contrats spéciaux, 5e éd. 2016, ch. 3909 p. 539). Pour calculer la réduction de prix " en proportion de la moins-value ", la jurisprudence et la doctrine majoritaire prescrivent la méthode relative - comme en matière de réduction du prix de la chose vendue -, en fonction de la proportion qui existe entre la valeur objective de l'ouvrage avec défaut et la valeur objective de l'ouvrage sans défaut: le prix convenu est réduit dans la proportion obtenue ( ATF 116 II 305 consid. 4a; 111 II 162 consid. 3a; 105 II 99 consid. 4a; 88 II 410 consid. 3; 81 II 207 consid. 3a; arrêts 4A_667/2016 du 3 avril 2017 consid. 5.2.1; 4A_65/2012 du 21 mai 2012 consid. 12.6; 4C.346/2003 du 26 octobre 2004 consid. 4.3.1; GAUCH, op. cit., n° 1670 et n° 1674 ss p. 761 ss; s'agissant des critiques, cf. notamment, TERCIER/BIERI/CARRON, op. cit., ch. 802 p. 114). Cette jurisprudence vise à rétablir l'équilibre des prestations selon le principe qui régit les contrats synallagmatiques ( ATF 85 II 192 ). Elle se fonde sur la considération selon laquelle le prix convenu peut être inférieur ou supérieur à la valeur objective de la chose vendue; après la réduction du prix, il devrait subsister le même rapport entre les prestations réciproques des parties ( ATF 81 II 207 consid. 3a). La réduction du prix se confond avec la moins-value si le prix convenu ou fixé pour l'ouvrage sans défaut est égal à la valeur objective de l'ouvrage sans défaut. Lorsque la valeur de l'ouvrage défectueux se révèle nulle, le prix est réduit à zéro (arrêt C.297/1981 du 9 février 1982 consid. 2d). L'application stricte de la méthode relative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(valeur objective de l'ouvrage sans défaut) est égale au prix convenu par les parties ( ATF 111 II 162 consid. 3b). Cette présomption se fonde sur la considération que, d'ordinaire, le prix est l'expression de la valeur marchande ( ATF 111 II 162 consid. 3b; TERCIER/BIERI/CARRON, op. cit., ch. 805 p. 114; cf. aussi GEORG GAUTSCHI, Berner Kommentar, n° 16b ad art. 368 CO ). Il appartient à celle des parties qui prétend que cette valeur est supérieure ou inférieure de l'établir. Si cette présomption n'est pas renversée, la réduction du prix est simplement égale à la moins-value. Facilitant encore l'application de l' art. 368 al. 2 1 ère hypothèse CO, le Tribunal fédéral a posé que la moins-value est présumée égale aux coûts de remise en état de l'ouvrage ( ATF 116 II 305 consid. 4a; 111 II 162 consid. 3b; arrêts 4A_667/2016 précité consid. 5.2.1; 4A_65/2012 précité consid. 12.6). Il appartient à celle des parties qui prétend que la moins-value est supérieure ou inférieure de l'établir ( ATF 116 II 305 consid. 4a). L'application conjointe de ces deux présomptions aboutit à une réduction du prix égale au coût de l'élimination du défaut (arrêt 4C.461/2004 du 15 mars 2005 consid. 4; TERCIER/BIERI/CARRON, op. cit., ch. 806 p. 114).</w:t>
      </w:r>
    </w:p>
    <w:p>
      <w:r>
        <w:rPr>
          <w:b/>
        </w:rPr>
        <w:t>E. 5</w:t>
      </w:r>
    </w:p>
    <w:p>
      <w:r>
        <w:t>Il convient d'examiner, à l'aune de ces principes, si la cour cantonale, en fixant la réduction, a respecté le droit fédéral, étant précisé que la notion de réduction du prix est une question de droit que le Tribunal fédéral revoit librement.</w:t>
      </w:r>
    </w:p>
    <w:p>
      <w:r>
        <w:rPr>
          <w:b/>
        </w:rPr>
        <w:t>E. 5.1</w:t>
      </w:r>
    </w:p>
    <w:p>
      <w:r>
        <w:t>Les juges cantonaux ont raisonné au moyen des présomptions, en estimant que la réduction de prix était égale aux coûts de remise en état de l'ouvrage, à savoir 50'000 fr. Ce faisant, leur raisonnement est entaché d'une erreur lourde de conséquences. Même s'ils ne l'ont pas indiqué expressis verbis , ils semblent avoir raisonné comme si le prix de l'ouvrage considéré était supérieur à ce montant. L'arrêt cantonal n'indique pas si une partie du prix forfaitaire de 1'300'000 fr. défini aux termes du contrat du 6 mars 2009 correspond aux parois défectueuses. Les juges précédents n'ont pas non plus spécifié s'ils se basaient sur ce prix-là. Quoi qu'il en soit, les parties ont signé, le 6 mars 2009 également, un accord complémentaire relatif aux transformations ou modifications, ainsi qu'au choix de matériaux de finition et d'équipements différents de ceux prévus dans le descriptif de construction. Entre mars et octobre 2009, elles se sont entendues pour que les parois séparant la chambre 3 et l'espace repas, ainsi que celles séparant la chambre 2 de la salle de bains soient construites dans un autre matériau, à savoir de l'albaphon (45 mm) ajouté à de l'alba de 6 cm, en lieu et place de parois en alba de 10 cm prévues à l'origine dans le descriptif de construction. Un devis pour cet ouvrage a été signé par l'intimé en juin 2010. Le prix indiqué était alors de 3'271 fr.55 au total. Il s'est finalement élevé à 3'877 fr.90, ce que la cour cantonale a établi en constatant que ce montant correspondait à la plus-value payée par les intimés pour ladite modification de commande; contrairement aux affirmations des intimés, il ne s'agit donc pas d'un fait nouveau, irrecevable au sens de l' art. 99 al. 1 LTF . En conséquence, c'est le prix de 3'877 fr.90 qui doit être réduit en proportion de la moins-value causée par le défaut, et non le prix forfaitaire de 1'300'000 fr. convenu initialement pour l'ensemble de l'ouvrage, augmenté du montant de 3'877 fr.90, comme les intimés le voudraient. Il s'ensuit que la réduction de prix ne peut logiquement être supérieure à 3'877 fr.90. La cour cantonale a manifestement erré en jugeant que les intimés avaient droit à une réduction de prix de 50'000 fr., correspondant aux frais de réfection.</w:t>
      </w:r>
    </w:p>
    <w:p>
      <w:r>
        <w:rPr>
          <w:b/>
        </w:rPr>
        <w:t>E. 5.2</w:t>
      </w:r>
    </w:p>
    <w:p>
      <w:r>
        <w:t>Selon la méthode relative, le prix réduit ( p) s'obtient en multipliant le prix convenu (P) par le rapport existant entre la valeur objective de l'ouvrage avec défaut ( v) et la valeur objective de l'ouvrage sans défaut (V), selon l'équation p = P x (CHAIX, op. cit., n° 34 ad art. 368 CO ; GAUCH, op. cit., n° 1670 p. 761). En l'espèce, l'expert judiciaire a estimé à 15'000 fr. le coût des travaux à réaliser en cours de chantier pour atteindre l'isolation acoustique de 55 dB voulue par les parties. La valeur objective de l'ouvrage sans défaut serait ainsi de 15'000 fr. Aucune partie n'a toutefois cherché apparemment à renverser la présomption selon laquelle la valeur sans défaut équivaut au prix convenu de l'ouvrage, soit 3'877 fr.90. Peu importe, en définitive. En effet, de l'aveu même des recourants formulé expressément dans le corps de leur mémoire et implicitement dans leurs conclusions qui lient la cour de céans ( art. 107 al. 1 LTF ), la valeur objective de l'ouvrage avec défaut est nulle, de sorte que le prix s'en trouve réduit à zéro. Les intimés ont ainsi droit à une réduction de prix de 3'877 fr.90, soit l'entier de ce qu'ils ont payé pour les parois en cause, et non de 50'000 fr. comme l'autorité précédente l'a jugé. Partant, le recours doit être admis. Au montant total de 72'870 fr.80 alloué aux intimés par la cour cantonale à titre de réduction de prix pour tous les défauts, il y a lieu de retrancher 50'000 fr., puis d'ajouter 3'877 fr.90. L'arrêt attaqué sera dès lors réformé en ce sens que les intimés sont redevables envers les recourants d'un montant de 26'748 fr.70, avec intérêts à 5% l'an dès le 27 août 2010.</w:t>
      </w:r>
    </w:p>
    <w:p>
      <w:r>
        <w:rPr>
          <w:b/>
        </w:rPr>
        <w:t>E. 6</w:t>
      </w:r>
    </w:p>
    <w:p>
      <w:r>
        <w:t>Les intimés, qui succombent, prendront solidairement à leur charge les frais judiciaires ( art. 66 al. 1 et 5 LTF ) et verseront solidairement aux recourants, créanciers solidaires,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