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239/2021 vom 16. Dezember 2022</w:t>
      </w:r>
    </w:p>
    <w:p>
      <w:r>
        <w:t>Bundesgericht, 2022-12-16, FR</w:t>
      </w:r>
    </w:p>
    <w:p>
      <w:r>
        <w:rPr>
          <w:b/>
        </w:rPr>
        <w:t xml:space="preserve">Quelle: </w:t>
      </w:r>
      <w:r>
        <w:t>https://mcp.opencaselaw.ch/entscheid/bger_4A_239_2021</w:t>
      </w:r>
    </w:p>
    <w:p>
      <w:r>
        <w:t>FR: TF 4A 239/2021 du 16 décembre 2022</w:t>
      </w:r>
    </w:p>
    <w:p>
      <w:r>
        <w:t>IT: TF 4A 239/2021 del 16 dicembre 2022</w:t>
      </w:r>
    </w:p>
    <w:p>
      <w:pPr>
        <w:pStyle w:val="Heading2"/>
      </w:pPr>
      <w:r>
        <w:t>Regeste</w:t>
      </w:r>
    </w:p>
    <w:p>
      <w:r>
        <w:t>contrat de travail; gratification, | Droit des contrats</w:t>
      </w:r>
    </w:p>
    <w:p>
      <w:pPr>
        <w:pStyle w:val="Heading2"/>
      </w:pPr>
      <w:r>
        <w:t>Erwägungen</w:t>
      </w:r>
    </w:p>
    <w:p>
      <w:r>
        <w:rPr>
          <w:b/>
        </w:rPr>
        <w:t>E. 1</w:t>
      </w:r>
    </w:p>
    <w:p>
      <w:r>
        <w:t>Interjeté dans le délai fixé par la loi ( art. 45 al. 1, art. 46 al. 1 let. a et art. 100 al. 1 LTF ) par la défenderesse qui a succombé dans ses conclusions libératoires ( art. 76 al. 1 LTF ) et dirigé contre une décision finale ( art. 90 LTF ) rendue sur appel par le tribunal supérieur du canton de Vaud ( art. 75 LTF ) dans une affaire civile ( art. 72 al. 1 LTF ) dont la valeur litigieuse est supérieure à 15'000 fr. ( art. 74 al. 1 let. a LTF ), le recours en matière civile est en principe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 ATF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141 III 86 consid. 2; 140 III 115 consid. 2; 137 III 580 consid. 1.3). Les critiques de nature appellatoire sont irrecevables ( ATF 145 IV 154 consid. 1.1; 142 III 364 consid. 2.4; 140 III 264 consid. 2.3).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 La critique de l'état de fait retenu est soumise au principe de l'allégation énoncé par l' art. 106 al. 2 LTF ( ATF 140 III 264 consid. 2.3 et les références). La partie qui entend attaquer les faits constatés par l'autorité précédente doit expliquer clairement et de manière circonstanciée en quoi les conditions d'une exception au sens de l' art. 105 al. 2 LTF seraient réalisées. Si la critique ne satisfait pas à ces exigences, les allégations relatives à un état de fait qui s'écarterait de celui de la décision attaquée ne pourront pas être prises en considération ( ATF 140 III 16 consid. 1.3.1 et les références).</w:t>
      </w:r>
    </w:p>
    <w:p>
      <w:r>
        <w:rPr>
          <w:b/>
        </w:rPr>
        <w:t>E. 3</w:t>
      </w:r>
    </w:p>
    <w:p>
      <w:r>
        <w:t>Le demandeur était employé de la défenderesse aux termes d'un contrat de travail qui a débuté le 1er janvier 2018 pour prendre fin le 31 décembre de la même année. Ceci ne fait pas débat. Le litige se cristallise autour du bonus au sens de l' art. 322d CO , auquel le demandeur prétend pour l'année en question. La condition à laquelle le versement du bonus était subordonnée n'est pas réalisée. C'est là désormais un point acquis. L'employé prétend toutefois à une somme de 20'000 fr. en invoquant le principe de l'égalité de traitement par rapport à ses quatre collègues managers régionaux - de même rang hiérarchique - qui ont bénéficié chacun d'un montant équivalent.</w:t>
      </w:r>
    </w:p>
    <w:p>
      <w:r>
        <w:rPr>
          <w:b/>
        </w:rPr>
        <w:t>E. 3.1</w:t>
      </w:r>
    </w:p>
    <w:p>
      <w:r>
        <w:t>Sur ce chapitre, les premiers juges avaient donné tort à l'intimé. Les autres managers régionaux avaient bénéficié de gratifications, mais celles-ci étaient en lien avec les tâches supplémentaires qu'ils avaient dû assumer, alors que l'employeuse n'avait confié aucune tâche de cet acabit au demandeur, lequel n'avait que quelques mois d'ancienneté dans l'entreprise. Certes, l'employé s'était occupé de l'organisation de certains événements, mais ces tâches - qui se situaient au niveau des clubs de fitness et non du groupe - s'inscrivaient dans le cahier des charges ordinaire d'un responsable commercial, cette fonction impliquant la recherche et l'acquisition de clientèle. Il n'avait donc pas été victime d'inégalité de traitement.</w:t>
      </w:r>
    </w:p>
    <w:p>
      <w:r>
        <w:rPr>
          <w:b/>
        </w:rPr>
        <w:t>E. 3.2</w:t>
      </w:r>
    </w:p>
    <w:p>
      <w:r>
        <w:t>La cour cantonale s'est prononcée dans un sens contraire. Elle a constaté que l'employé s'était vu attribuer dans le courant de l'année 2018 des tâches telles que l'organisation de divers événements. Si ces tâches ne figuraient pas dans le cahier des charges relatif à la fonction de manager régional, signé par l'employé, elles ne figuraient pas non plus dans le cahier des charges de responsable commercial, qu'il n'avait d'ailleurs pas signé. Ce dernier document faisait mention de partenariats d'entreprise et d'actions commerciales; ces tâches imposaient la recherche de nouveaux clients, la vente privée, la négociation des conditions de partenariat, le développement d'actions commerciales ou la représentation lors de salons, expositions ou " events ", mais ne s'apparentaient pas à l'organisation d'événements. Cette dernière tâche constituait ainsi une tâche supplémentaire, semblable à celles confiées aux quatre autres managers régionaux, ce qui était corroboré par le témoignage de I.________, ancien directeur adjoint du groupe. Selon l'arrêt attaqué, l'employeuse a dès lors violé le principe de l'égalité de traitement en n'accordant pas une gratification à l'employé, alors qu'elle en a fait bénéficier les quatre autres managers régionaux qui se trouvaient dans une situation identique.</w:t>
      </w:r>
    </w:p>
    <w:p>
      <w:r>
        <w:rPr>
          <w:b/>
        </w:rPr>
        <w:t>E. 4</w:t>
      </w:r>
    </w:p>
    <w:p>
      <w:r>
        <w:t>Pour établir si l'employé s'était vu ou non confier des tâches supplémentaires telles que l'organisation de divers événements, la cour cantonale disposait notamment, outre le témoignage de I.________, de celui de F.________, manager régional, et des déclarations de D.________, en qualité de partie.</w:t>
      </w:r>
    </w:p>
    <w:p>
      <w:r>
        <w:rPr>
          <w:b/>
        </w:rPr>
        <w:t>E. 4.1</w:t>
      </w:r>
    </w:p>
    <w:p>
      <w:r>
        <w:t>Dans son appel, l'intimé a allégué à titre de fait nouveau que, lors de son audition, le témoin F.________, sous la pression de D.________, avait menti en déclarant ignorer si des tâches supplémentaires, comme l'organisation d'événements particuliers, avaient été attribuées à l'employé. A titre de moyens de preuve, il a produit notamment deux pièces, numérotées 4 et 5. La pièce 4 consiste en un document signé le 9 septembre 2020 par J.________, manager chez A.________. Il en ressort que F.________ aurait confié audit manager, à l'occasion d'un déjeuner le 31 août 2020, qu'il n'avait pas pu dire la vérité lorsqu'il avait été entendu comme témoin devant le Tribunal de prud'hommes; il aurait été briefé par D.________ sur ce qu'il devait dire. La pièce 5, intitulée " Questionnaire en vue d'un contrôle relatif aux conditions de travail en entreprise ", émane de l'Inspection du travail de la Ville de Lausanne et porte la date du 31/08 (à moins qu'il s'agisse de 09) /2020. F.________ y déclare avoir fait l'objet de pression psychologique, de harcèlement et de menaces dans le poste de manager régional; il désigne D.________ à titre de personne concernée. La Cour d'appel civile a jugé que les pièces 4 et 5, postérieures à la dernière audience de l'autorité de première instance, étaient recevables et seraient donc prises en compte. A l'issue de l'appréciation des preuves, les juges cantonaux ont retenu en fait que, comme il l'alléguait, l'employé s'était occupé en 2018 de l'organisation de divers événements, en exécution des nouvelles tâches qui lui avaient été attribuées comme aux autres managers régionaux. Ils se sont fondés sur les déclarations du témoin I.________, qui ne travaillait plus pour la recourante et n'avait donc pas intérêt à ne pas dire la vérité. Au contraire, les propos de D.________ - qui déclarait avoir délégué des tâches supplémentaires aux managers régionaux, sauf à l'intimé, en raison de leur ancienneté - n'ont pas été jugés probants, dès lors qu'ils émanaient d'une partie et que l'intéressé, au regard des pièces 4 et 5 produites en appel, avait briefé le témoin F.________ et exercé des pressions sur lui. La cour cantonale n'a pas non plus accordé du crédit aux déclarations du témoin F.________, lequel, selon les pièces précitées, avait admis avoir, sous l'influence de D.________, menti lors de son audition du 30 septembre 2019. En outre, les juges précédents ont constaté que l'organisation d'événements était une tâche qui ne ressortait ni du cahier des charges de manager régional, ni de celui de responsable commercial.</w:t>
      </w:r>
    </w:p>
    <w:p>
      <w:r>
        <w:rPr>
          <w:b/>
        </w:rPr>
        <w:t>E. 4.2</w:t>
      </w:r>
    </w:p>
    <w:p>
      <w:r>
        <w:t>Dans un premier moyen, la recourante reproche à la cour cantonale d'avoir violé l' art. 317 al. 1 CPC en déclarant recevables les deux nouveaux moyens de preuve produits en appel par l'intimé. Si l'on saisit bien son propos, elle estime que la date figurant sur chacune des pièces 4 et 5, floue pour l'une d'entre elles, n'était pas suffisante pour retenir que les conditions de l' art. 317 al.1 CPC étaient réalisées.</w:t>
      </w:r>
    </w:p>
    <w:p>
      <w:r>
        <w:rPr>
          <w:b/>
        </w:rPr>
        <w:t>E. 4.2.1</w:t>
      </w:r>
    </w:p>
    <w:p>
      <w:r>
        <w:t>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 ATF 144 III 349 consid. 4.2.1).</w:t>
      </w:r>
    </w:p>
    <w:p>
      <w:r>
        <w:rPr>
          <w:b/>
        </w:rPr>
        <w:t>E. 4.2.2</w:t>
      </w:r>
    </w:p>
    <w:p>
      <w:r>
        <w:t>La cour cantonale a constaté que les pièces querellées étaient postérieures à la dernière audience du Tribunal de prud'hommes, ce qui l'a déterminée à conclure que les conditions de l' art. 317 al. 1 CPC étaient réunies. Contrairement à ce que la recourante semble prétendre, aucun élément n'incite à penser que l'intimé aurait appris les faits ressortant de ces pièces bien avant qu'elles ne soient établies. Le grief n'est dès lors pas fondé.</w:t>
      </w:r>
    </w:p>
    <w:p>
      <w:r>
        <w:rPr>
          <w:b/>
        </w:rPr>
        <w:t>E. 4.3</w:t>
      </w:r>
    </w:p>
    <w:p>
      <w:r>
        <w:t>La recourante se plaint ensuite d'une violation des art. 168 al. 1, 170 et 171 CPC ainsi que de son droit d'être entendue ( art. 29 al. 2 Cst. et art. 53 CPC ). Elle est d'avis que la pièce 4 s'apparente à une déclaration écrite faite pour les besoins de la cause, qui ne fait pas partie des moyens de preuve dont l' art. 168 al. 1 CPC dresse une liste exhaustive. Ne respectant pas la forme du témoignage (audition, exhortation à dire la vérité, possibilité de poser au témoin des questions complémentaires), elle aurait dû être écartée. Le grief soulevé par la recourante tombe d'emblée à faux. Aux termes de l' art. 150 al. 1 CPC , la preuve a pour objet les faits pertinents et contestés. En l'espèce, le moyen de preuve décrié était censé démontrer un fait nouveau allégué par le demandeur dans son appel, soit que le témoin F.________, sous l'influence de D.________, avait menti lors de son audition: il savait que des tâches supplémentaires avaient été confiées à l'employé. Or, la défenderesse n'a pas déposé de réponse à l'appel ( art. 312 CPC ) et n'a donc pas contesté le fait en question, recevable au regard de l' art. 317 al. 1 CPC . Elle est dès lors réputée l'avoir admis, l' art. 153 al. 2 CPC étant réservé (dans ce sens, FRANÇOISE BASTONS BULLETTI, in Code de procédure civile, Petit commentaire, Chabloz/Dietschy-Martenet/Heinzmann éd., 2021, n° 5 ad art. 312 CPC ). Que la cour cantonale ait tenu ce fait pour acquis n'est donc pas critiquable.</w:t>
      </w:r>
    </w:p>
    <w:p>
      <w:r>
        <w:rPr>
          <w:b/>
        </w:rPr>
        <w:t>E. 4.4</w:t>
      </w:r>
    </w:p>
    <w:p>
      <w:r>
        <w:t>La recourante poursuit en faisant valoir que la cour cantonale s'est livrée à une appréciation arbitraire des preuves.</w:t>
      </w:r>
    </w:p>
    <w:p>
      <w:r>
        <w:rPr>
          <w:b/>
        </w:rPr>
        <w:t>E. 4.4.1</w:t>
      </w:r>
    </w:p>
    <w:p>
      <w:r>
        <w:t>En tant que ce grief concerne la force probante des pièces 4 et 5 évoquées plus haut, le débat est vain puisque la recourante n'a pas contesté le fait dont il s'agit. Au surplus, le fait que le témoin F.________ a été influencé par D.________ permettait assurément à la cour cantonale, sans verser dans l'arbitraire, de ne pas accorder du crédit aux déclarations des susnommés lors de leur audition en relation avec l'attribution ou non à l'intimé de tâches supplémentaires telles que l'organisation de divers événements.</w:t>
      </w:r>
    </w:p>
    <w:p>
      <w:r>
        <w:rPr>
          <w:b/>
        </w:rPr>
        <w:t>E. 4.4.2</w:t>
      </w:r>
    </w:p>
    <w:p>
      <w:r>
        <w:t>Toujours au chapitre de l'appréciation arbitraire des preuves, la recourante fait valoir également que la cour cantonale ne disposait d'aucun élément pour admettre que l'employé " aurait participé à des projets nommés Golden Week et/ou Outdoor ", comme il le prétendait. L'évocation de ces projets n'est toutefois pas cruciale, ce qui dispense d'ouvrir ce débat que la recourante n'amorce d'ailleurs pas dans la forme prescrite (cf. consid. 2 supra).</w:t>
      </w:r>
    </w:p>
    <w:p>
      <w:r>
        <w:rPr>
          <w:b/>
        </w:rPr>
        <w:t>E. 4.4.3</w:t>
      </w:r>
    </w:p>
    <w:p>
      <w:r>
        <w:t>La recourante reproche encore à la cour cantonale d'avoir accordé du crédit au témoignage de I.________ qui ne serait pas clair sur le point de savoir si l'employé " s'était activé hors de son cahier des charges ". Sur le fait litigieux, la cour cantonale s'est fondée sur les déclarations du témoin I.________ - qualifiées de claires et précises - selon lesquelles tous les responsables s'étaient vu attribuer de nouvelles tâches, y compris l'intimé en ce sens qu'il devait principalement s'occuper des événements. Le Tribunal fédéral ne décèle aucun arbitraire dans la manière dont l'autorité précédente a apprécié ce moyen de preuve.</w:t>
      </w:r>
    </w:p>
    <w:p>
      <w:r>
        <w:rPr>
          <w:b/>
        </w:rPr>
        <w:t>E. 4.4.4</w:t>
      </w:r>
    </w:p>
    <w:p>
      <w:r>
        <w:t>Dans le même ordre d'idées, la recourante soutient que l'organisation d'événements était une tâche qui était inhérente au cahier des charges de responsable commercial de l'employé. Ce cahier des charges, versé au dossier, n'est toutefois pas signé. Quand bien même, il ne recense pas expressément ce type de tâches et l'interprétation que la recourante en donne est contestable. Quant au caractère notoire que la recourante brandit en guise d'argument de dernier recours, il est tout sauf évident.</w:t>
      </w:r>
    </w:p>
    <w:p>
      <w:r>
        <w:rPr>
          <w:b/>
        </w:rPr>
        <w:t>E. 4.4.5</w:t>
      </w:r>
    </w:p>
    <w:p>
      <w:r>
        <w:t>En conclusion, la cour de céans ne décèle nulle trace d'un quelconque arbitraire dans l'appréciation des preuves qui a conduit la cour cantonale à tenir pour établi que, à l'instar des autres managers régionaux, l'intimé s'était vu confier en 2018 des tâches hors de son cahier des charges.</w:t>
      </w:r>
    </w:p>
    <w:p>
      <w:r>
        <w:rPr>
          <w:b/>
        </w:rPr>
        <w:t>E. 5</w:t>
      </w:r>
    </w:p>
    <w:p>
      <w:r>
        <w:t>En dernier lieu, la recourante soutient que la cour cantonale aurait violé l' art. 328 CO en faisant bénéficier l'intimé du principe d'égalité de traitement avec les quatre autres managers régionaux. L'employeuse ne conteste pas en soi que l'employé puisse prétendre au versement d'une gratification pour 2018 en se fondant sur le principe de l'égalité de traitement (sur l'application de ce principe en matière de gratification et ses limites, cf. ATF 129 III 276 consid. 3.1). La recourante fonde bien plutôt sa critique sur les situations prétendument différentes dans lesquelles les managers régionaux se seraient trouvés. Or, les faits qu'elle allègue pour donner une certaine consistance à son argumentation ne ressortent pas de l'arrêt attaqué, qui fait foi à cet égard (cf. consid. 2 supra). Quant aux interrogations que la recourante soulève, elles sont impropres à fonder le grief d'illégalité dont elle fait son fer de lance. C'est donc à tort que la recourante se plaint d'une violation de l' art. 328 CO .</w:t>
      </w:r>
    </w:p>
    <w:p>
      <w:r>
        <w:rPr>
          <w:b/>
        </w:rPr>
        <w:t>E. 6</w:t>
      </w:r>
    </w:p>
    <w:p>
      <w:r>
        <w:t>Sur le vu de ce qui précède, le recours ne peut qu'être rejeté, dans la mesure où il est recevable. La recourante prendra à sa charge les frais de la procédure fédérale ( art. 66 al. 1 LTF ), fixés selon le tarif réduit ( art. 65 al. 4 let . c LTF), et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