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4A_239/2013 vom 9. September 2013</w:t>
      </w:r>
    </w:p>
    <w:p>
      <w:r>
        <w:t>Bundesgericht, 2013-09-09, DE</w:t>
      </w:r>
    </w:p>
    <w:p>
      <w:r>
        <w:rPr>
          <w:b/>
        </w:rPr>
        <w:t xml:space="preserve">Quelle: </w:t>
      </w:r>
      <w:r>
        <w:t>https://mcp.opencaselaw.ch/entscheid/bger_4A_239_2013</w:t>
      </w:r>
    </w:p>
    <w:p>
      <w:r>
        <w:t>FR: TF 4A_239/2013 du 9 septembre 2013</w:t>
      </w:r>
    </w:p>
    <w:p>
      <w:r>
        <w:t>IT: TF 4A_239/2013 del 9 settembre 2013</w:t>
      </w:r>
    </w:p>
    <w:p>
      <w:pPr>
        <w:pStyle w:val="Heading2"/>
      </w:pPr>
      <w:r>
        <w:t>Erwägungen</w:t>
      </w:r>
    </w:p>
    <w:p>
      <w:r>
        <w:rPr>
          <w:b/>
        </w:rPr>
        <w:t>E. 1</w:t>
      </w:r>
    </w:p>
    <w:p>
      <w:r>
        <w:t>Mit dem angefochtenen Urteil schützte das Obergericht den Nichteintretensentscheid des Bezirksgerichts, soweit die Klage sich gegen die Beklagten 2, 3, 4, 5, 7, 9 und 10 richtet. Somit liegt ein Endentscheid ( Art. 90 BGG ) einer letzten kantonalen Instanz im Sinne von Art. 75 Abs. 1 und 2 BGG vor. Dagegen steht die Beschwerde in Zivilsachen offen, zumal der Streitwert mehr als Fr. 30'000.-- beträgt ( Art. 74 Abs. 1 lit. b BGG ). Da auch die übrigen Sachurteilsvoraussetzungen erfüllt sind, ist auf die Beschwerde einzutreten.</w:t>
      </w:r>
    </w:p>
    <w:p>
      <w:r>
        <w:rPr>
          <w:b/>
        </w:rPr>
        <w:t>E. 2</w:t>
      </w:r>
    </w:p>
    <w:p>
      <w:r>
        <w:t>Die Beschwerdeführerin ist der Meinung, das Bezirksgericht habe sich zu Unrecht für unzuständig erklärt. Sie rügt, dass anstelle von Bundesrecht kantonales Recht angewendet worden sei. Das kantonale Recht dürfe die Durchsetzung des materiellen Bundesrechts nicht vereiteln. Es verletze den Verhältnismässigkeitsgrundsatz ( Art. 5 BV ), das Beschleunigungsgebot ( Art. 29 Abs. 1 BV ) und das Rechtsgleichheitsgebot ( Art. 8 BV ), wenn für die auf den gleichen Sachverhalt ("Überbauung R.________") gestützten Klagen je nach beklagter Partei beim Handelsgericht und beim Bezirksgericht ein Prozess geführt werden müsste.</w:t>
      </w:r>
    </w:p>
    <w:p>
      <w:r>
        <w:rPr>
          <w:b/>
        </w:rPr>
        <w:t>E. 3.1</w:t>
      </w:r>
    </w:p>
    <w:p>
      <w:r>
        <w:t>Das kantonale Recht regelt die sachliche und funktionelle Zuständigkeit der Gerichte, soweit das Gesetz nichts anderes bestimmt ( Art. 4 Abs. 1 ZPO ). Die Kantone können ein Fachgericht bezeichnen, welches als einzige kantonale Instanz für handelsrechtliche Streitigkeiten zuständig ist ( Art. 6 Abs. 1 ZPO ).</w:t>
      </w:r>
    </w:p>
    <w:p>
      <w:r>
        <w:t>Der Kanton Aargau hat von dieser Befugnis Gebrauch gemacht. Das Handelsgericht des Kantons Aargau ist namentlich für handelsrechtliche Streitigkeiten im Sinne von Art. 6 Abs. 2 ZPO sachlich zuständig. Nach den verbindlichen Feststellungen der Vorinstanz sind die diesbezüglichen Voraussetzungen bei der erhobenen Klage betreffend die im Handelsregister eingetragenen Beklagten 2, 3, 4, 5, 7, 9 und 10 gegeben, so dass insoweit das Handelsgericht sachlich zuständig ist. Demgegenüber ist für die nicht im Handelsregister eingetragenen Beklagten 1, 6 und 8 das Bezirksgericht zuständig. Entsprechend bezog sich der Nichteintretensentscheid des Bezirksgerichts nicht auch auf diese Beklagten.</w:t>
      </w:r>
    </w:p>
    <w:p>
      <w:r>
        <w:rPr>
          <w:b/>
        </w:rPr>
        <w:t>E. 3.2</w:t>
      </w:r>
    </w:p>
    <w:p>
      <w:r>
        <w:t>Die Beschwerdeführerin hat die Beklagten 1-10 als einfache Streitgenossen eingeklagt.</w:t>
      </w:r>
    </w:p>
    <w:p>
      <w:r>
        <w:t>Die einfache passive Streitgenossenschaft setzt voraus, dass Rechte und Pflichten zu beurteilen sind, die auf gleichartigen Tatsachen oder Rechtsgründen beruhen ( Art. 71 Abs. 1 ZPO ). Sodann muss für die einzelnen Klagen die gleiche Verfahrensart anwendbar sein ( Art. 71 Abs. 2 ZPO ). Schliesslich muss die gleiche sachliche Zuständigkeit für alle eingeklagten Ansprüche gelten. Das setzt Art. 71 ZPO stillschweigend voraus; was für die Klagenhäufung gegen dieselbe Partei gilt (vgl. Art. 90 lit. a ZPO ), muss umso mehr für Klagen gegen eine einfache Streitgenossenschaft gelten ( BGE 138 III 471 E. 5.1).</w:t>
      </w:r>
    </w:p>
    <w:p>
      <w:r>
        <w:rPr>
          <w:b/>
        </w:rPr>
        <w:t>E. 3.3</w:t>
      </w:r>
    </w:p>
    <w:p>
      <w:r>
        <w:t>Wie das Bundesgericht kürzlich in einem Fall betreffend den Kanton Zürich entschieden hat, kann der Kanton eine einheitliche Zuständigkeit des ordentlichen Gerichts für die einfache passive Streitgenossenschaft vorsehen, wenn für gewisse Beklagte das Handelsgericht, für andere das ordentliche Gericht zuständig wäre. Wörtlich führte es in BGE 138 III 471 E. 5.1 aus:</w:t>
      </w:r>
    </w:p>
    <w:p>
      <w:r>
        <w:t>"Im Rahmen seiner Kompetenz zur Regelung der sachlichen Zuständigkeit der Gerichte ( Art. 4 ZPO ) muss dem Kanton erlaubt sein, aus prozessökonomischen Gründen und zur Vermeidung widersprüchlicher Urteile (vgl. [...]) eine einheitliche sachliche Zuständigkeit für einfache passive Streitgenossenschaften vorzusehen. Wäre für gewisse Streitgenossen das Handelsgericht sachlich zuständig und für andere das ordentliche Gericht, kann er die Zuständigkeit zwar nicht gesamthaft dem Handelsgericht übertragen; denn dessen Zuständigkeit ist durch das Bundesrecht begrenzt und kann nicht auf weitere Fälle (insbesondere auf beklagte Personen, die nicht im Handelsregister eingetragen sind) ausgedehnt werden ( Art. 4 Abs. 1 und Art. 6 ZPO ; [...]). Die Regelung der handelsgerichtlichen Zuständigkeit nach Art. 6 ZPO bezweckt nicht, in ihrem Anwendungsbereich die einfache Streitgenossenschaft ( Art. 71 ZPO ) zu verhindern. Es ist dem Kanton - dem es freisteht, die Handelsgerichtsbarkeit überhaupt einzuführen ( Art. 6 Abs. 1 ZPO ) - vielmehr zuzugestehen, mit seiner Regelung der sachlichen Zuständigkeit der Gerichte zu ermöglichen, Streitgenossen vor dem gleichen Gericht einzuklagen."</w:t>
      </w:r>
    </w:p>
    <w:p>
      <w:r>
        <w:t>Da im Kanton Zürich eine (stillschweigende) Regelung gilt, nach welcher das Bezirksgericht für alle erhobenen Klagen sachlich zuständig war, schützte das Bundesgericht in jenem Fall den Nichteintretensentscheid des Handelsgerichts (vgl. BGE 138 III 471 E. 5.2).</w:t>
      </w:r>
    </w:p>
    <w:p>
      <w:r>
        <w:rPr>
          <w:b/>
        </w:rPr>
        <w:t>E. 3.4</w:t>
      </w:r>
    </w:p>
    <w:p>
      <w:r>
        <w:t>Vorliegend präsentiert sich die kantonale Rechtslage anders: Für den Kanton Aargau ist eine entsprechende Regelung einer einheitlichen Zuständigkeit des ordentlichen Gerichts bei einfacher passiver Streitgenossenschaft nicht anzunehmen. Gemäss den Darlegungen der Vorinstanz sieht das aargauische Recht in Fällen, in denen für einzelne Klagen das Bezirksgericht, für andere das Handelsgericht zuständig ist, bei passiver Streitgenossenschaft keine einheitliche Zuständigkeit des Bezirksgerichts vor, wobei entgegen der Meinung der Beschwerdeführerin gerade keine echte Gesetzeslücke anzunehmen ist.</w:t>
      </w:r>
    </w:p>
    <w:p>
      <w:r>
        <w:t>Es fragt sich, ob diese aargauische Regelung unterschiedlicher sachlicher Zuständigkeit vor Bundesrecht standhält. Dies ist zu bejahen. Es besteht keine Norm des Bundesrechts, welche die einheitliche sachliche Zuständigkeit bei der einfachen Streitgenossenschaft vorsieht, und welche die Vorinstanz vorliegend anstelle der kantonalrechtlichen Regeln über die sachliche Zuständigkeit hätte anwenden müssen. Wie das Bundesgericht in BGE 138 III 471 darlegte,</w:t>
      </w:r>
    </w:p>
    <w:p>
      <w:r>
        <w:t>können die Kantone eine einheitliche Zuständigkeit des ordentlichen Gerichts bei einfacher passiver Streitgenossenschaft vorsehen. Sie müssen dies aber nicht. Zwar mögen prozessökonomische Gründe und die Gefahr widersprüchlicher Urteile dafür sprechen, eine einheitliche Zuständigkeit vorzusehen. Auf der anderen Seite kann aber nicht gesagt werden, eine unterschiedliche sachliche Zuständigkeit würde die Durchsetzung des materiellen Bundesrechts geradezu vereiteln oder in unverhältnismässiger Weise erschweren. Die Vorinstanz vermochte sachliche Gründe anzuführen, welche die Beibehaltung der Zuständigkeit des Handelsgerichts zu rechtfertigen vermögen, auch in Fällen einer einfachen passiven Streitgenossenschaft, bei der für einzelne Beklagte das Bezirksgericht zuständig ist, und somit zwei Prozesse beim je zuständigen Gericht geführt werden müssen. So sei es nach den Wertungen des aargauischen Gesetzgebers zweckmässig und sinnvoll, dass handelsrechtliche Streitigkeiten durch das hierfür spezialisierte Handelsgericht entschieden würden. Diese Wertung des kantonalen Gesetzgebers ist zu respektieren, nachdem der Bundesgesetzgeber den Kantonen freigestellt hat, für handelsrechtliche Streitigkeiten die Zuständigkeit von Handelsgerichten vorzusehen, ohne diese Befugnis für den Fall der einfachen passiven Streitgenossenschaft einzuschränken.</w:t>
      </w:r>
    </w:p>
    <w:p>
      <w:r>
        <w:t>Wohl bedeutet es für den Kläger meist mehr Aufwand, wenn er vor zwei Gerichten prozessieren muss. Auf der anderen Seite nimmt die Komplexität möglicherweise ab, wenn weniger Beklagte gleichzeitig ins Recht gefasst werden. Sodann bleiben dem Kläger - gemäss Wertung des kantonalen Gesetzgebers - die Vorteile der Handelsgerichtsbarkeit in den handelsrechtlichen Streitigkeiten erhalten. Es kann deshalb nicht gesagt werden, er sei in unverhältnismässiger Weise bei der Durchsetzung seiner Ansprüche behindert, wenn er je vor dem Bezirksgericht und dem Handelsgericht eine Klage einbringen muss. Das Beschleunigungsgebot ( Art. 29 Abs. 1 BV ) wird allein durch die Notwendigkeit zweier Prozesse nicht verletzt. Vielmehr trägt die Handelsgerichtsbarkeit, die mit ihrer Konzentration auf eine einzige kantonale Fachinstanz eine rasche Justiz darstellt, dem Beschleunigungsgebot gerade Rechnung. Inwiefern sodann der Rechtsgleichheitsgrundsatz ( Art. 8 BV ) verletzt sein könnte, ist nicht hinlänglich begründet und nicht ersichtlich, wird doch - im betreffenden Kanton - Gleiches stets gleich behandelt, mithin die sachliche Zuständigkeit bei entsprechenden Voraussetzungen gleich gehandhabt. Dass in den Kantonen unterschiedliche Regelungen betreffend die sachliche Zuständigkeit bestehen, verletzt die Rechtsgleichheit nicht, sondern wurde vom Bundesgesetzgeber in Kauf genommen, als er den Kantonen die Möglichkeit zur Institutionalisierung von Handelsgerichten einräumte und hinsichtlich deren sachlicher Zuständigkeit bei einfachen passiven Streitgenossenschaften keine einschränkende Regelung traf.</w:t>
      </w:r>
    </w:p>
    <w:p>
      <w:r>
        <w:t>Der von der Vorinstanz geschützte Nichteintretensentscheid des Bezirksgerichts ist damit bundesrechtlich nicht zu beanstanden.</w:t>
      </w:r>
    </w:p>
    <w:p>
      <w:r>
        <w:rPr>
          <w:b/>
        </w:rPr>
        <w:t>E. 4</w:t>
      </w:r>
    </w:p>
    <w:p>
      <w:r>
        <w:t>Die Beschwerde ist abzuweisen. Bei diesem Verfahrensausgang wird die Beschwerdeführerin kosten- und entschädigungspflichtig ( Art. 66 Abs. 1 und Art. 68 Abs. 2 BGG ). Die Beschwerdegegnerinnen liessen sich durch verschiedene Rechtsbeistände vertreten. Da es einzig um die Frage der sachlichen Zuständigkeit ging, war der Aufwand zur Vernehmlassung gering. Es rechtfertigt sich daher, die Parteientschädigungen ermessensweise auf je Fr. 2'500.-- festzusetzen (Art. 8 Abs. 2 Reglement vom 31. März 2006 über die Parteientschädigung und die Entschädigung für die amtliche Vertretung im Verfahren vor Bundesgericht, SR 173.110.210.3). Der Beschwerdegegnerin 5, die auf eine (eingehende) Stellungnahme verzichtete und der daher kaum Aufwand erwuchs, ist eine Parteientschädigung von Fr. 300.-- zu entrichten. Der nicht anwaltlich vertretenen Beschwerdegegnerin 6 ist keine Parteientschädigung zuzusprechen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