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4A_238/2023 vom 28. August 2023</w:t>
      </w:r>
    </w:p>
    <w:p>
      <w:r>
        <w:rPr>
          <w:i/>
        </w:rPr>
        <w:t>Bundesgericht</w:t>
      </w:r>
      <w:r>
        <w:rPr>
          <w:i/>
        </w:rPr>
        <w:t xml:space="preserve">  ·  2023-08-28</w:t>
      </w:r>
      <w:r>
        <w:rPr>
          <w:i/>
        </w:rPr>
        <w:t xml:space="preserve">  ·  DE</w:t>
      </w:r>
    </w:p>
    <w:p>
      <w:r>
        <w:rPr>
          <w:b/>
        </w:rPr>
        <w:t xml:space="preserve">Source: </w:t>
      </w:r>
      <w:r>
        <w:t>https://mcp.opencaselaw.ch/entscheid/bger_4A_238_2023</w:t>
      </w:r>
    </w:p>
    <w:p>
      <w:r>
        <w:t>FR: TF 4A_238/2023 du 28 août 2023 · IT: TF 4A_238/2023 del 28 agosto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Es geht um eine Zivilrechtsstreitigkeit über den Gebrauch einer Firma, für die das Bundesrecht ( Art. 5 Abs. 1 lit. c ZPO ) eine einzige kantonale Instanz vorsieht ( Art. 75 Abs. 2 lit. a BGG ). Die Beschwerde in Zivilsachen, die sich gegen einen Endentscheid ( Art. 90 BGG ) richtet, ist demnach unabhängig vom Streitwert zulässig ( Art. 74 Abs. 2 lit. b BGG ).</w:t>
      </w:r>
    </w:p>
    <w:p>
      <w:r>
        <w:t>Die Beschwerdeführerin bringt in ihrer Eingabe vom 13. Juni 2023 zu Unrecht vor, die Rechte und Pflichten aus ihrer Firma seien im Rahmen der erfolgten Fusion nicht auf die Bergerat SA übergegangen bzw. nach erfolgter Fusion fehle es angesichts des Untergangs der NOBILIS Switzerland GmbH an der Prozessvoraussetzung der Partei-bzw. Prozessfähigkeit. Wie die Beschwerdegegnerin zutreffend einwendet, ist die NOBILIS Switzerland GmbH zufolge Fusion in der Bergerat SA aufgegangen, auf die kraft fusionsrechtlicher Universalsukzession sämtliche Aktiven und Passiven übergegangen sind und die an die Stelle der absorbierten Gesellschaft im hängigen Verfahren getreten ist ( Art. 71 BGG i.V.m. Art. 17 Abs. 3 BZP [SR 273] sowie Art. 3 Abs. 1 lit. a und Art. 22 Abs. 1 des Bundesgesetzes über Fusion, Spaltung, Umwandlung und Vermögensübertragung [Fusionsgesetz, FusG; SR 221.301] ; BGE 141 V 657 E. 1). Unzutreffend ist angesichts der fusionsrechtlichen Gesamtnachfolge auch das Vorbringen der Beschwerdeführerin, das angefochtene Urteil gelte "nur inter partes", weshalb die Bergerat SA nicht daran gebunden sei. Andere Gründe, weshalb das Rechtsschutzinteresse an der Beschwerde nachträglich weggefallen sein soll, legt die Beschwerdeführerin nicht dar; vielmehr hält sie an der Beschwerde fest und bestreitet weiterhin die Widerrechtlichkeit des beanstandeten Verhaltens.</w:t>
      </w:r>
    </w:p>
    <w:p>
      <w:r>
        <w:t>Auf die fristgerecht eingereichte Beschwerde ( Art. 100 Abs. 1 BGG ) ist unter Vorbehalt hinreichender Begründung ( Art. 42 Abs. 2 und Art. 106 Abs. 2 BGG ) einzutreten. Aufgrund der erfolgten Fusion ist die Parteibezeichnung im Rubrum anzupassen.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w:t>
      </w:r>
    </w:p>
    <w:p>
      <w:r>
        <w:t>Die Beschwerdeführerin wirft der Vorinstanz eine Verletzung von Art. 951 und Art. 956 OR vor.</w:t>
      </w:r>
    </w:p>
    <w:p>
      <w:r>
        <w:rPr>
          <w:b/>
        </w:rPr>
        <w:t>E. 2.1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122 III 369 E. 1). Der Begriff der Verwechslungsgefahr ist nach der bundesgerichtlichen Rechtsprechung für das gesamte Kennzeichenrecht einheitlich zu umschreiben ( BGE 128 III 401 E. 5; 127 III 160 E. 2a; 126 III 239 E. 3a). Es handelt sich dabei um eine Rechtsfrage, die vom Bundesgericht grundsätzlich frei geprüft wird ( BGE 128 III 353 E. 4 mit Hinweisen).</w:t>
      </w:r>
    </w:p>
    <w:p>
      <w:r>
        <w:t>Da Handelsgesellschaften und Genossenschaften ihre Firma grundsätzlich frei wählen können, stellt die Rechtsprechung an deren Unterscheidungskraft im Allgemeinen strenge Anforderungen ( BGE 122 III 369 E. 1; 118 II 322 E. 1; 92 II 95 E. 2).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118 II 322 E. 1; 97 II 234 E. 1; Urteile 4A_617/2021 vom 23. August 2022 E. 3.1.2; 4A_125/2019 vom 16. Juli 2019 E. 2.1; 4A_541/2018 vom 29. Januar 2019 E. 3.1).</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127 III 160 E. 2b/cc;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128 III 96 E. 2a; 118 II 322 E. 1; je mit Hinweisen). Der Firmenschutz soll dabei nur jene Verwechslungen verhindern, denen der durchschnittliche Firmenadressat mit einer gewissen Wahrscheinlichkeit unterliegt ( BGE 122 III 369 E. 2c mit Hinweis).</w:t>
      </w:r>
    </w:p>
    <w:p>
      <w:r>
        <w:rPr>
          <w:b/>
        </w:rPr>
        <w:t>E. 2.2</w:t>
      </w:r>
    </w:p>
    <w:p>
      <w:r>
        <w:t>Die Beschwerdeführerin macht zu Unrecht geltend, dass sich die Firma NOBILIS Switzerland GmbH von der klägerischen Firma Nobilis Estate AG deutlich unterscheide. Die Vorinstanz ist davon ausgegangen, dass der übereinstimmende Bestandteil "NOBILIS" bzw. "Nobilis" das prägende Element der beiden Firmen darstellt, während den Zusätzen "Switzerland" bzw. "Estate" lediglich geringe Kennzeichnungskraft zukommt, indem sie auf ein Gebiet bzw. den Tätigkeitsbereich der Beschwerdegegnerin hinweisen. Dies ist nicht zu beanstanden, sondern vielmehr zutreffend. Entgegen dem, was die Beschwerdeführerin anzunehmen scheint, kann der Zeichenbestandteil "Nobilis" nicht als derart kennzeichnungsschwach beurteilt werden, dass der klägerischen Firma lediglich ein geringer Schutzbereich zukäme und bereits ein verhältnismässig schwacher Zusatz - geschweige denn eine Sachbezeichnung - bei der jüngeren Firma ausreichen würde, um genügend Abstand zur älteren Firma zu schaffen. Der Hinweis in der Beschwerde auf die bundesgerichtliche Rechtsprechung ( BGE 122 III 369 E. 1) verfängt daher nicht. Der Vorinstanz ist keine Verletzung von Art. 951 in Verbindung mit Art. 956 OR vorzuwerfen, indem sie davon ausging, die Unterschiede in den - als Hinweis auf den Tätigkeitsbereich bzw. das Tätigkeitsgebiet verstandenen - Zusätzen "Estate" und "Switzerland" reichten nicht aus, um eine Verwechslungsgefahr zu bannen.</w:t>
      </w:r>
    </w:p>
    <w:p>
      <w:r>
        <w:t>Ebenso wenig verfängt der von der Beschwerdeführerin als "alternative Begründung" bezeichnete Einwand, die Vorinstanz habe den Zusatz "Estate" in der klägerischen Firma zu Unrecht als kennzeichnungsschwachen Firmenbestandteil eingeordnet. Sie weist zwar nachvollziehbar darauf hin, "Estate" könne vom massgebenen Zielpublikum nicht nur in seiner Bedeutung von "Immobilien", sondern auch "im Sinne von Vermögen und Eigentum aber auch Vermächtnis, Nachlass und Erbgang" verstanden werden. Es leuchtet jedoch nicht ein, inwiefern dies etwas am sachlichen Zusammenhang mit der Geschäftstätigkeit der Beschwerdegegnerin ändern soll, die den Kauf und Verkauf, die Verwaltung und Vermarktung von Immobilien an Privat- und Geschäftskunden im In- und Ausland, einschliesslich entsprechender Beratungsdienstleistungen bezweckt. Die Beschwerdeführerin legt denn auch nicht dar, inwiefern die weiteren Bedeutungen dazu führen sollen, dass der Zusatz "Estate" von den massgebenden Verkehrskreisen nicht mehr als Hinweis auf den Tätigkeitsbereich der Beschwerdegegnerin, sondern als Fantasiebezeichnung aufgefasst wird. Entsprechend zielt auch die im gleichen Zusammenhang erhobene Sachverhaltsrüge ins Leere.</w:t>
      </w:r>
    </w:p>
    <w:p>
      <w:r>
        <w:t>Entgegen den Vorbringen in der Beschwerde trifft zudem nicht zu, dass die Vorinstanz einige tatsächlich aufgetretene Verwechslungen hätte genügen lassen, um die mangelnde Unterscheidbarkeit der beiden Firmen zu belegen. Vielmehr hat sie ihre Beurteilung der firmenrechtlichen Verwechslungsgefahr anhand der beiden Firmen und in Beachtung der in der Rechtsprechung entwickelten Grundsätze vorgenommen.</w:t>
      </w:r>
    </w:p>
    <w:p>
      <w:r>
        <w:t>Die Rüge, die Vorinstanz habe mit ihrer firmenrechtlichen Beurteilung Art. 951 und Art. 956 OR verletzt, erweist sich insgesamt als unbegründet.</w:t>
      </w:r>
    </w:p>
    <w:p>
      <w:r>
        <w:rPr>
          <w:b/>
        </w:rPr>
        <w:t>E. 3.1</w:t>
      </w:r>
    </w:p>
    <w:p>
      <w:r>
        <w:t>Keine Bundesrechtsverletzung vermag die Beschwerdeführerin aufzuzeigen, indem sie unter Hinweis auf den Grundsatz der schonenden Rechtsausübung bzw. den Grundsatz von Treu und Glauben ( Art. 2 Abs. 2 ZGB ) vorbringt, die Vorinstanz hätte "entweder auf das Zufügen eines beliebigen Bestandteiles der Firma der Beschwerdeführerin erkennen können, oder darauf, wie gemäss dem klägerischen Eventualbegehren gefordert, dass die Beschwerdeführerin einen 'beschreibenden, kennzeichnungsstarken Zusatz' hinzufüge" und ohne weitere Begründung behauptet, damit wären die Rechte der Beschwerdeführerin (gemeint wohl: der Beschwerdegegnerin) in gleichem Masse geschützt gewesen wie mit dem Hauptbegehren. Nachdem die Vorinstanz die Voraussetzungen für die Gutheissung des klägerischen Hauptbegehrens als erfüllt erachtet hatte, verzichtete sie folgerichtig auf die Beurteilung des klägerischen Eventualbegehrens.</w:t>
      </w:r>
    </w:p>
    <w:p>
      <w:r>
        <w:rPr>
          <w:b/>
        </w:rPr>
        <w:t>E. 3.2</w:t>
      </w:r>
    </w:p>
    <w:p>
      <w:r>
        <w:t>Unbegründet ist zudem das Vorbringen, die Vorinstanz habe die "Dispositions- und Offizialmaxime nach Art. 58 ZPO " verletzt, indem sie nicht auf das klägerische Eventualbegehren erkannt habe. Indem die Vorinstanz das Hauptbegehren guthiess, hat sie der Beschwerdegegnerin nicht mehr oder anderes zugesprochen als sie verlangt oder weniger als die Beschwerdeführerin anerkannt hat, wie diese zu Unrecht anzunehmen scheint.</w:t>
      </w:r>
    </w:p>
    <w:p>
      <w:r>
        <w:rPr>
          <w:b/>
        </w:rPr>
        <w:t>E. 3.3</w:t>
      </w:r>
    </w:p>
    <w:p>
      <w:r>
        <w:t>Ebenso wenig durchzudringen vermag die Beschwerdeführerin mit ihren Vorbringen unter dem Titel "Verletzung des firmenrechtlichen Eigentums nach Art. 950 OR , der Eigentumsgarantie nach Art. 26 BV , und der Wirtschaftsfreiheit nach Art. 27 BV ". Abgesehen davon, dass sie mit ihren Ausführungen die gesetzlichen Begründungsanforderungen an hinreichende Verfassungsrügen weitgehend verfehlt ( Art. 106 Abs. 2 BGG ), verkennt sie insbesondere, dass die Eigentumsgarantie ( Art. 26 BV ) das Eigentum nur mit dem Inhalt gewährleistet, den es nach Massgabe der jeweiligen Rechtsordnung hat ( BGE 140 III 297 E. 5.1 mit Hinweisen).</w:t>
      </w:r>
    </w:p>
    <w:p>
      <w:r>
        <w:t>Zudem lässt sie mit ihrem Hinweis auf Art. 950 OR unbeachtet, dass die freie Firmenwahl nach der gesetzlichen Bestimmung von Art. 951 OR unter dem Vorbehalt der deutlichen Unterscheidbarkeit von bereits eingetragenen Firmen steht. Dass die Ausschliesslichkeit der eingetragenen Firma nach Art. 951 in Verbindung mit Art. 956 OR dazu führen kann, dass eine später eingetragene Firma gegebenenfalls weichen muss, ist von der Rechtsordnung eigens vorgesehen. Darin ist weder eine Verletzung der Eigentumsgarantie ( Art. 26 BV ) noch der Wirtschaftsfreiheit ( Art. 27 BV ) zu erblicken.</w:t>
      </w:r>
    </w:p>
    <w:p>
      <w:r>
        <w:t>Ebenso wenig zeigt die Beschwerdeführerin eine Verletzung von Art. 5 Abs. 2 BV geschweige denn Art. 9 BV auf, indem sie ohne hinreichende Begründung behauptet, die Vorinstanz habe mit der Gutheissung des Hauptbegehrens den Grundsatz der Verhältnismässigkeit verletzt.</w:t>
      </w:r>
    </w:p>
    <w:p>
      <w:r>
        <w:rPr>
          <w:b/>
        </w:rPr>
        <w:t>E. 4</w:t>
      </w:r>
    </w:p>
    <w:p>
      <w:r>
        <w:t>Die Beschwerde ist abzuweisen, soweit darauf eingetreten werden kann. Mit dem Entscheid in der Sache wird das Gesuch um Erteilung der aufschiebenden Wirkung gegenstandslos.</w:t>
      </w:r>
    </w:p>
    <w:p>
      <w:r>
        <w:t>Dem Ausgang des Verfahrens entsprechend wird die Beschwerdeführerin kosten- und entschädigungspflichtig ( Art. 66 Abs. 1 und Art. 68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