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4A_237/2018 vom 13. Juni 2018</w:t>
      </w:r>
    </w:p>
    <w:p>
      <w:r>
        <w:t>Bundesgericht, 2018-06-13, FR</w:t>
      </w:r>
    </w:p>
    <w:p>
      <w:r>
        <w:rPr>
          <w:b/>
        </w:rPr>
        <w:t xml:space="preserve">Quelle: </w:t>
      </w:r>
      <w:r>
        <w:t>https://mcp.opencaselaw.ch/entscheid/bger_4A_237_2018</w:t>
      </w:r>
    </w:p>
    <w:p>
      <w:r>
        <w:t>FR: TF 4A_237/2018 du 13 juin 2018</w:t>
      </w:r>
    </w:p>
    <w:p>
      <w:r>
        <w:t>IT: TF 4A_237/2018 del 13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4A_237/2018</w:t>
      </w:r>
    </w:p>
    <w:p>
      <w:r>
        <w:t>Arrêt du 13 juin 2018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représentée par Me Christian Dénériaz,</w:t>
      </w:r>
    </w:p>
    <w:p>
      <w:r>
        <w:t>recourante,</w:t>
      </w:r>
    </w:p>
    <w:p>
      <w:r>
        <w:t>contre</w:t>
      </w:r>
    </w:p>
    <w:p>
      <w:r>
        <w:t>H.Z.________ et F.Z.________,</w:t>
      </w:r>
    </w:p>
    <w:p>
      <w:r>
        <w:t>représentés par Me Daniel Pache,</w:t>
      </w:r>
    </w:p>
    <w:p>
      <w:r>
        <w:t>intimés.</w:t>
      </w:r>
    </w:p>
    <w:p>
      <w:r>
        <w:t>Objet</w:t>
      </w:r>
    </w:p>
    <w:p>
      <w:r>
        <w:t>recours tardif</w:t>
      </w:r>
    </w:p>
    <w:p>
      <w:r>
        <w:t>recours contre l'arrêt rendu le 26 février 2018 par la Cour d'appel civile du Tribunal cantonal du canton de Vaud (PT12.033627-171465 122).</w:t>
      </w:r>
    </w:p>
    <w:p>
      <w:r>
        <w:t>Considérant :</w:t>
      </w:r>
    </w:p>
    <w:p>
      <w:r>
        <w:t>Que par mémoire daté du 20 avril 2018, X.________ exerce le recours en matière civile contre un arrêt rendu le 26 février 2018 par la Cour d'appel civile du Tribunal cantonal du canton de Vaud;</w:t>
      </w:r>
    </w:p>
    <w:p>
      <w:r>
        <w:t>Que la recevabilité du recours était notamment subordonnée à l'observation d'un délai de trente jours à compter de la notification de l'arrêt attaqué ( art. 100 al. 1 LTF );</w:t>
      </w:r>
    </w:p>
    <w:p>
      <w:r>
        <w:t>Que le mémoire de recours devait être remis à la poste, à l'intention du Tribunal fédéral, au plus tard le dernier jour de ce délai ( art. 48 al. 1 LTF );</w:t>
      </w:r>
    </w:p>
    <w:p>
      <w:r>
        <w:t>Que selon le mémoire, le mandataire de la recourante a reçu l'arrêt attaqué au plus tôt le lundi 5 mars 2018;</w:t>
      </w:r>
    </w:p>
    <w:p>
      <w:r>
        <w:t>Que le délai s'est écoulé dès le lendemain, le mardi 6 mars ( art. 44 al. 1 LTF );</w:t>
      </w:r>
    </w:p>
    <w:p>
      <w:r>
        <w:t>Qu'il est demeuré suspendu du septième jour avant Pâques au septième jour après Pâques ( art. 46 al. 1 let. a LTF );</w:t>
      </w:r>
    </w:p>
    <w:p>
      <w:r>
        <w:t>Que le délai s'est ainsi écoulé du mardi 6 au samedi 24 mars (dix-neuf jours) et du lundi 9 au jeudi 19 avril (onze jours);</w:t>
      </w:r>
    </w:p>
    <w:p>
      <w:r>
        <w:t>Que le mémoire a été remis à la poste le vendredi 20 avril;</w:t>
      </w:r>
    </w:p>
    <w:p>
      <w:r>
        <w:t>Que le délai était alors échu;</w:t>
      </w:r>
    </w:p>
    <w:p>
      <w:r>
        <w:t>Que le recours est donc irrecevable parce que déposé tardivement;</w:t>
      </w:r>
    </w:p>
    <w:p>
      <w:r>
        <w:t>Que son auteur doit acquitter l'émolument à percevoir par le Tribunal fédéral.</w:t>
      </w:r>
    </w:p>
    <w:p>
      <w:r>
        <w:t>Par ces motifs, vu l' art. 108 al. 1 let. a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recourante acquittera un émolument judiciaire de 500 francs.</w:t>
      </w:r>
    </w:p>
    <w:p>
      <w:r>
        <w:t>3.</w:t>
      </w:r>
    </w:p>
    <w:p>
      <w:r>
        <w:t>Le présent arrêt est communiqué aux parties et au Tribunal cantonal du canton de Vaud.</w:t>
      </w:r>
    </w:p>
    <w:p>
      <w:r>
        <w:t>Lausanne, le 13 juin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