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4A_236/2019 vom 4. Juli 2019</w:t>
      </w:r>
    </w:p>
    <w:p>
      <w:r>
        <w:t>Bundesgericht, 2019-07-04, DE</w:t>
      </w:r>
    </w:p>
    <w:p>
      <w:r>
        <w:rPr>
          <w:b/>
        </w:rPr>
        <w:t xml:space="preserve">Quelle: </w:t>
      </w:r>
      <w:r>
        <w:t>https://mcp.opencaselaw.ch/entscheid/bger_4A_236_2019</w:t>
      </w:r>
    </w:p>
    <w:p>
      <w:r>
        <w:t>FR: TF 4A_236/2019 du 4 juillet 2019</w:t>
      </w:r>
    </w:p>
    <w:p>
      <w:r>
        <w:t>IT: TF 4A_236/2019 del 4 luglio 2019</w:t>
      </w:r>
    </w:p>
    <w:p>
      <w:pPr>
        <w:pStyle w:val="Heading2"/>
      </w:pPr>
      <w:r>
        <w:t>Erwägungen</w:t>
      </w:r>
    </w:p>
    <w:p>
      <w:r>
        <w:rPr>
          <w:b/>
        </w:rPr>
        <w:t>E. 1</w:t>
      </w:r>
    </w:p>
    <w:p>
      <w:r>
        <w:t>Die Beschwerdeführerin reichte am 3. April 2019 beim Handelsgericht des Kantons Bern gegen die Stiftung B.________ Klage ein. Nachdem sie vom Gericht zur Leistung eines Kostenvorschusses aufgefordert worden war, reichte sie ein Gesuch um unentgeltliche Rechtspflege ein.</w:t>
      </w:r>
    </w:p>
    <w:p>
      <w:r>
        <w:t>Das Handelsgericht wies mit Entscheid vom 22. Mai 2019 das Gesuch um unentgeltliche Rechtspflege ab.</w:t>
      </w:r>
    </w:p>
    <w:p>
      <w:r>
        <w:t>Dagegen erhob die Beschwerdeführerin mit Eingabe vom 24. Mai 2019 Beschwerde an das Bundesgericht. Am 3. Juni 2019 reichte sie dem Bundesgericht eine weitere Eingabe ein.</w:t>
      </w:r>
    </w:p>
    <w:p>
      <w:r>
        <w:t>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rügt sinngemäss eine Verletzung der Ausstandsvorschriften durch den Instruktionsrichter am Handelsgericht. Sie begründet diesen Vorwurf jedoch offensichtlich nicht hinreichend, indem sie bloss pauschal behauptet, der Instruktionsrichter habe seine Meinung bereits gefasst, indem er die Klage im Rahmen der Prüfung des Gesuchs um unentgeltliche Rechtspflege als aussichtslos qualifiziert habe. Der Vollständigkeit halber ist die Beschwerdeführerin auf Art. 47 Abs. 2 lit. a ZPO hinzuweisen, wonach die Mitwirkung beim Entscheid über die unentgeltliche Rechtspflege für sich allein kein Ausstandsgrund ist (vgl. Urteil 4A_271/2017 vom 7. September 2017 E. 4.2).</w:t>
      </w:r>
    </w:p>
    <w:p>
      <w:r>
        <w:rPr>
          <w:b/>
        </w:rPr>
        <w:t>E. 4</w:t>
      </w:r>
    </w:p>
    <w:p>
      <w:r>
        <w:t>Auch im Übrigen erfüllen die Eingaben der Beschwerdeführerin die Begründungsanforderungen vor Bundesgericht offensichtlich nicht. Sie zählt darin zwar auf, dass der Entscheid der Vorinstanz gegen eine Vielzahl von Gesetzesbestimmungen und Bundesgerichtsentscheide verstossen würde. Sie legt aber bloss in frei gehaltenen Ausführungen ihre Sicht der Dinge dar, ohne indessen auf die ausführlichen Erwägungen der Vorinstanz hinreichend konkret einzugehen, geschweige denn nachvollziehbar aufzuzeigen, inwiefern diese ihre Rechte verletzt haben soll.</w:t>
      </w:r>
    </w:p>
    <w:p>
      <w:r>
        <w:t>Auf die Beschwerde ist somit mangels hinreichender Begründung nicht einzutreten ( Art. 108 Abs. 1 lit. b BGG ).</w:t>
      </w:r>
    </w:p>
    <w:p>
      <w:r>
        <w:rPr>
          <w:b/>
        </w:rPr>
        <w:t>E. 5</w:t>
      </w:r>
    </w:p>
    <w:p>
      <w:r>
        <w:t>Das Gesuch um Erteilung der aufschiebenden Wirkung wird mit dem Entscheid in der Sache selbst gegenstandslos.</w:t>
      </w:r>
    </w:p>
    <w:p>
      <w:r>
        <w:rPr>
          <w:b/>
        </w:rPr>
        <w:t>E. 6</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7</w:t>
      </w:r>
    </w:p>
    <w:p>
      <w:r>
        <w:t>Bei diesem Ausgang des Verfahrens sind die Gerichtskosten der Beschwerdeführerin aufzuerlegen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