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235/2013 vom 27. Mai 2014</w:t>
      </w:r>
    </w:p>
    <w:p>
      <w:r>
        <w:t>Bundesgericht, 2014-05-27, FR</w:t>
      </w:r>
    </w:p>
    <w:p>
      <w:r>
        <w:rPr>
          <w:b/>
        </w:rPr>
        <w:t xml:space="preserve">Quelle: </w:t>
      </w:r>
      <w:r>
        <w:t>https://mcp.opencaselaw.ch/entscheid/bger_4A_235_2013</w:t>
      </w:r>
    </w:p>
    <w:p>
      <w:r>
        <w:t>FR: TF 4A 235/2013 du 27 mai 2014</w:t>
      </w:r>
    </w:p>
    <w:p>
      <w:r>
        <w:t>IT: TF 4A 235/2013 del 27 maggio 2014</w:t>
      </w:r>
    </w:p>
    <w:p>
      <w:pPr>
        <w:pStyle w:val="Heading2"/>
      </w:pPr>
      <w:r>
        <w:t>Regeste</w:t>
      </w:r>
    </w:p>
    <w:p>
      <w:r>
        <w:t>carences dans l'organisation d'une société anonyme | Droit des sociétés</w:t>
      </w:r>
    </w:p>
    <w:p>
      <w:pPr>
        <w:pStyle w:val="Heading2"/>
      </w:pPr>
      <w:r>
        <w:t>Erwägungen</w:t>
      </w:r>
    </w:p>
    <w:p>
      <w:r>
        <w:rPr>
          <w:b/>
        </w:rPr>
        <w:t>E. 1.1</w:t>
      </w:r>
    </w:p>
    <w:p>
      <w:r>
        <w:t>Le recours est interjeté par la partie qui a succombé dans ses conclusions touchant ses intérêts pécuniaires et qui a donc qualité pour recourir (cf. art. 76 al. 1 LTF ). Il est dirigé contre une décision partielle ( art. 91 let. a LTF ) rendue par un tribunal supérieur statuant sur recours en dernière instance cantonale ( art. 75 LTF ). L'autorité précédente a estimé la valeur litigieuse à 701'000 fr. (valeur nominale du capital-actions représentant la majorité absolue). Il n'y a pas lieu de revenir sur cette appréciation, les parties ne la contestant d'ailleurs pas. La valeur litigieuse atteint donc le seuil de 30'000 fr. ( art. 74 al. 1 let. b LTF ). Les exigences de forme ( art. 42 LTF ) et de délai (art. 100 al. 1 et 48 al. 1 LTF) sont pour le surplus respectées, de sorte que le recours est en principe recevable.</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en principe aux questions juridiques que la partie recourante soulève dans la motivation du recours ( art. 42 al. 2 LTF ; ( ATF 137 III 580 consid. 1.3 p. 584).</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1.4</w:t>
      </w:r>
    </w:p>
    <w:p>
      <w:r>
        <w:t>Le Tribunal fédéral ne peut aller au-delà des conclusions des parties ( art. 107 al. 1 LTF ).</w:t>
      </w:r>
    </w:p>
    <w:p>
      <w:r>
        <w:rPr>
          <w:b/>
        </w:rPr>
        <w:t>E. 2.1</w:t>
      </w:r>
    </w:p>
    <w:p>
      <w:r>
        <w:t>Il est de jurisprudence qu'en vertu de l' art. 731b al. 1 CO , il y a carence dans l'organisation de la société notamment lorsqu'un blocage persistant au sein de l'actionnariat empêche l'élection d'un organe (arrêt 4A_630/2011 du 7 mars 2012 consid. 2.3 non publié in ATF 138 III 166 ; ATF 138 III 294 consid. 3.1.5 p. 299; cf. Chenaux/Hänni, Carence dans l'organisation de la société: étude des aspects matériels et procéduraux de l' art. 731b CO , JdT 2013 II p. 101 s., et les arrêts cités).</w:t>
      </w:r>
    </w:p>
    <w:p>
      <w:r>
        <w:rPr>
          <w:b/>
        </w:rPr>
        <w:t>E. 2.2</w:t>
      </w:r>
    </w:p>
    <w:p>
      <w:r>
        <w:t>Le recourant objecte que la situation au sein de l'actionnariat ne fait en l'espèce pas obstacle au fonctionnement du conseil d'administration, ce cas de figure étant précisément réglementé par une clause statutaire. Il s'appuie sur l'art. 15 des statuts de la société intimée, selon lequel " le Conseil d'administration se compose d'un ou de plusieurs membres. En règle générale, il est élu lors de l'assemblée générale ordinaire et pour la durée d'une année. Les membres du Conseil d'administration restent en fonction jusqu'à ce que l'assemblée générale ait procédé à une nouvelle élection ou qu'elle les ait reconduits dans leur fonction (...) ". Selon le recourant, il découlerait de la clause litigieuse que les administrateurs sont maintenus " en charge une année supplémentaire en cas de non-aboutissement des élections ". Une application correcte du droit conduirait dès lors à reconnaître que la société intimée est toujours dotée d'un conseil d'administration valablement constitué suite à l'assemblée générale du 26 octobre 2011. Partant, le recourant considère que la cour cantonale, qui a considéré que l'art. 15 des statuts n'était pas valable, a appliqué de manière incorrecte les art. 698 al. 2 et 710 CO et que cela l'a conduite à appliquer à tort l' art. 731b al. 1 CO . L'intimé, auquel les héritières ont aujourd'hui succédé, est d'avis que la dernière phrase de l'art. 15 des statuts doit être considérée comme une simple clause de style, fréquemment utilisée dans la pratique, que la doctrine considère comme équivalente à celle selon laquelle le mandat des administrateurs prend fin à l'occasion de l'assemblée générale ordinaire suivant l'exercice écoulé pour lequel l'élection a été effectuée (pour les détails: ERIC HOMBURGER, in Berner Kommentar, 1997, no 223 ad art. 710 CO ).</w:t>
      </w:r>
    </w:p>
    <w:p>
      <w:r>
        <w:rPr>
          <w:b/>
        </w:rPr>
        <w:t>E. 2.3</w:t>
      </w:r>
    </w:p>
    <w:p>
      <w:r>
        <w:t>Lorsqu'il s'agit d'interpréter des statuts, les méthodes d'interprétation peuvent varier en fonction du type de société. Pour l'interprétation des statuts de grandes sociétés, on recourt plutôt aux méthodes d'interprétation de la loi. Pour celle de statuts de petites sociétés, on se réfère plutôt aux méthodes d'interprétation des contrats, à savoir une interprétation selon le principe de la confiance, l'interprétation subjective n'entrant en considération que si les sociétaires étaient, comme en l'espèce, très peu nombreux (arrêt 4C.350/2002 du 25 février 2003 consid. 3.2 publié in SJ 2003 I p. 577; ATF 107 II 179 consid. 4c p. 186).</w:t>
      </w:r>
    </w:p>
    <w:p>
      <w:r>
        <w:rPr>
          <w:b/>
        </w:rPr>
        <w:t>E. 2.4</w:t>
      </w:r>
    </w:p>
    <w:p>
      <w:r>
        <w:t>Le recourant considère que la volonté (réelle) des parties était de maintenir les administrateurs en place tant que de nouvelles élections n'auraient pas abouti (le mandat des administrateurs alors en place étant confirmé ou de nouveaux administrateurs étant élus). Il soutient que la cour cantonale a sombré dans l'arbitraire ( art. 9 Cst. ) en n'établissant pas la réelle et commune intention des parties, examen qu'il considère comme indispensable pour établir la signification de la clause litigieuse. Le recourant ajoute que l'interprétation des manifestations de volonté à la lumière du principe de la confiance (cf. ATF 136 III 186 consid. 3.2.1 p. 188) conduit au même résultat. On se limitera à observer sous cet angle, que l'art. 15 des statuts ne confirme pas de manière aussi évidente la thèse du recourant. Selon cette disposition, " les membres du Conseil d'administration restent en fonction jusqu'à ce que l'assemblée générale ait procédé à une nouvelle élection ou qu'elle les ait reconduits dans leur fonction ". Dans la première hypothèse (" nouvelle élection "), la clause n'exige pas l'élection effective de nouveaux administrateurs, qui remplaceraient ceux alors en fonction; ainsi, le simple fait de procéder à une nouvelle élection (indépendamment du résultat obtenu) devant l'assemblée générale paraît suffire pour mettre un terme au mandat de ces derniers. Il faut cependant remarquer que, si on interprète la clause dans ce sens, on peine alors à comprendre pourquoi elle désigne expressément une deuxième hypothèse (" ou qu'elle les ait reconduits dans leur fonction "), celle-ci étant évidemment comprise dans le cas de figure de la " nouvelle élection ". On peut toutefois renoncer à examiner le moyen tiré de l'arbitraire ( art. 9 Cst. ) et celui visant la mauvaise application du principe de la confiance (évoqué par le recourant sous l'angle de l' art. 18 CO ). En effet, même si l'on suivait l'interprétation faite par le recourant, son recours n'en devrait pas moins être rejeté pour les motifs suivants.</w:t>
      </w:r>
    </w:p>
    <w:p>
      <w:r>
        <w:rPr>
          <w:b/>
        </w:rPr>
        <w:t>E. 2.5</w:t>
      </w:r>
    </w:p>
    <w:p>
      <w:r>
        <w:t>Il faut remarquer, à titre liminaire, que la situation diffère du cas de figure dans lequel la réélection des membres du conseil d'administration (dont la durée du mandat a expiré) n'a pas été soumise à l'assemblée générale, celle-ci n'ayant pas été convoquée, ou la question ne lui ayant pas été présentée (sur les diverses positions doctrinales quant à l'admissibilité d'une prolongation tacite du mandat dans cette situation: TRAUTTMANN/VON DER CRONE, Organisationsmängel und Pattsituationen in der Aktiengesellschaft, RSDA 5/2012, p. 465; MEINRAD VETTER, Der Verantwortlichkeitsrechtliche Organbegriff gemäss Art. 754 Abs. 1 OR, thèse St-Gall 2007, p. 146 s.). En effet, il résulte en l'espèce des constatations cantonales qu'une assemblée générale ordinaire de la société intimée a été convoquée et formellement tenue. L'élection du conseil d'administration était à l'ordre du jour et il a été procédé au vote. Les voix nécessaires n'étant pas réunies, les trois administrateurs n'ont pas été réélus.</w:t>
      </w:r>
    </w:p>
    <w:p>
      <w:r>
        <w:rPr>
          <w:b/>
        </w:rPr>
        <w:t>E. 2.6</w:t>
      </w:r>
    </w:p>
    <w:p>
      <w:r>
        <w:t>Lorsque l'assemblée générale se prononce sur le renouvellement du mandat d'un administrateur et que celui-ci n'obtient pas les voix nécessaires à sa réélection, son mandat prend fin. L'assemblée générale a ainsi, par sa décision, exprimé une volonté en matière de composition des organes (qui est celle de ne pas réélire les membres du conseil d'administration proposés à l'élection). Si l'on admettait la validité d'une clause statutaire prévoyant dans ce cas de figure une réélection automatique des administrateurs, elle n'aurait pas seulement pour effet de prolonger tacitement le mandat des administrateurs, mais bien de faire obstacle à la volonté exprimée par l'assemblée générale. Autrement dit, elle restreindrait le droit (inaliénable) de l'assemblée générale de nommer les membres du conseil d'administration, ce qui n'est pas admissible (cf. art. 698 al. 2 ch. 2 CO ; WERNLI/RIZZI, in Basler Kommentar, Obligationenrecht II, 4e éd. 2012, no 3 ad art. 710 CO ; ADRIAN PLÜSS, Die Rechtsstellung des Verwaltungsratsmitgliedes, thèse Zurich 1990 p. 90 note de pied 470). La validité d'une telle clause, qui néglige les structures de base de la société anonyme, doit être niée (cf. art. 706b ch. 3 CO ; KATJA ROTH PELLANDA, Organisation des Verwaltungsrates, thèse Zurich 2007, p. 89 s., 196 s. et 202).</w:t>
      </w:r>
    </w:p>
    <w:p>
      <w:r>
        <w:rPr>
          <w:b/>
        </w:rPr>
        <w:t>E. 2.7</w:t>
      </w:r>
    </w:p>
    <w:p>
      <w:r>
        <w:t>Le recourant ne conteste pas vraiment les considérations qui précèdent, mais il soutient que l'art. 15 des statuts ne contient pas de " clause tacite de réélection au sens de ce qu'entend la doctrine ". Il en veut pour preuve que la clause litigieuse ne vise pas simplement l'oubli ou le manque de volonté de tenir une assemblée générale (cas de figure abondamment traité par la doctrine), mais qu'elle reflète une autre situation, soit la volonté expresse des parties de maintenir les administrateurs en place en cas d'échec d'une nouvelle élection. Le recourant, pour autant qu'on comprenne bien son argumentation, ne fait pas de distinction selon que l'assemblée générale a (cf. supra consid. 2.6), ou non (cf. supra consid. 2.5), pu se prononcer sur l'élection des membres du conseil d'administration. Or, en l'espèce, seul le premier cas de figure doit être examiné et c'est en partant de cette prémisse que la validité de la clause litigieuse doit être tranchée. Cela étant, le recourant joue sur les mots lorsqu'il précise que la clause litigieuse n'est pas une clause tacite de réélection, mais que les administrateurs restent simplement en place pour une année supplémentaire. Si la disposition statutaire était interprétée comme le veut le recourant, elle aurait pour effet de reconduire automatiquement le mandat des administrateurs, et donc de restreindre le droit inaliénable de l'assemblée générale de nommer les membres du conseil d'administration consacré à l' art. 698 al. 2 ch. 2 CO , ce qui n'est pas admissible.</w:t>
      </w:r>
    </w:p>
    <w:p>
      <w:r>
        <w:rPr>
          <w:b/>
        </w:rPr>
        <w:t>E. 2.8</w:t>
      </w:r>
    </w:p>
    <w:p>
      <w:r>
        <w:t>En conséquence, la cour cantonale n'a pas violé le droit fédéral en considérant que l'impossibilité pour l'assemblée générale de procéder à l'élection (ou à la réélection) du conseil d'administration, faute du nombre de voix nécessaires, constitue un blocage (pat) au sens de la jurisprudence et que l' art. 731b al. 1 CO impose donc au juge de prendre des mesures. Il n'y a pas lieu d'examiner si la clause statutaire viole également l' art. 710 CO .</w:t>
      </w:r>
    </w:p>
    <w:p>
      <w:r>
        <w:rPr>
          <w:b/>
        </w:rPr>
        <w:t>E. 3</w:t>
      </w:r>
    </w:p>
    <w:p>
      <w:r>
        <w:t>Il résulte des considérations qui précèdent que le recours doit être rejeté. En conséquence, le recourant supportera les frais judiciaires ( art. 66 al. 1 LTF ). S'agissant des dépens, il faut observer que l'échange d'écritures (recours et réponse) a eu lieu avant le décès de feu C.________ et que les frais nécessaires causés par le litige représente une dette du défunt. Le recourant versera par conséquent des dépens aux deux héritières, soit A.C.________ et B.C.________, créancières solidaires ( art. 68 al. 1 et 2 LTF ). La société intimée s'en est remise à justice sur le fond, mais a déposé des observations à propos de la requête d'effet suspensif. En conséquence, une indemnité réduite lui sera allouée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