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235/2010 vom 25. Juni 2010</w:t>
      </w:r>
    </w:p>
    <w:p>
      <w:r>
        <w:t>Bundesgericht, 2010-06-25, FR</w:t>
      </w:r>
    </w:p>
    <w:p>
      <w:r>
        <w:rPr>
          <w:b/>
        </w:rPr>
        <w:t xml:space="preserve">Quelle: </w:t>
      </w:r>
      <w:r>
        <w:t>https://mcp.opencaselaw.ch/entscheid/bger_4A_235_2010</w:t>
      </w:r>
    </w:p>
    <w:p>
      <w:r>
        <w:t>FR: TF 4A 235/2010 du 25 juin 2010</w:t>
      </w:r>
    </w:p>
    <w:p>
      <w:r>
        <w:t>IT: TF 4A 235/2010 del 25 giugno 2010</w:t>
      </w:r>
    </w:p>
    <w:p>
      <w:pPr>
        <w:pStyle w:val="Heading2"/>
      </w:pPr>
      <w:r>
        <w:t>Regeste</w:t>
      </w:r>
    </w:p>
    <w:p>
      <w:r>
        <w:t>Contrat de travail; résiliation; bonus | Droit des contrats</w:t>
      </w:r>
    </w:p>
    <w:p>
      <w:pPr>
        <w:pStyle w:val="Heading2"/>
      </w:pPr>
      <w:r>
        <w:t>Erwägungen</w:t>
      </w:r>
    </w:p>
    <w:p>
      <w:r>
        <w:rPr>
          <w:b/>
        </w:rPr>
        <w:t>E. 1</w:t>
      </w:r>
    </w:p>
    <w:p>
      <w:r>
        <w:t>Le Tribunal fédéral examine d'office et librement la recevabilité des recours qui lui sont soumis ( ATF 135 III 329 consid. 1). En cas de recours contre une décision finale, la valeur litigieuse est déterminée par les conclusions restées contestées devant l'autorité précédente ( art. 51 al. 1 let. a LTF ), soit en l'occurrence 13'663 fr. La valeur litigieuse ouvrant la voie du recours en matière civile n'est ainsi pas atteinte ( art. 74 al. 1 let. a LTF ). La recourante ne soutient en outre pas que la contestation soulèverait une question juridique de principe ( art. 74 al. 2 let. a et art. 42 al. 2 LTF ). Par conséquent, le recours en matière civile est irrecevable et seule la voie du recours constitutionnel subsidiaire est ouverte ( art. 113 LTF ).</w:t>
      </w:r>
    </w:p>
    <w:p>
      <w:r>
        <w:rPr>
          <w:b/>
        </w:rPr>
        <w:t>E. 2</w:t>
      </w:r>
    </w:p>
    <w:p>
      <w:r>
        <w:t>Le recours constitutionnel peut être formé uniquement pour violation des droits constitutionnels ( art. 116 LTF ). Les griefs doivent être expressément invoqués et motivés ( art. 106 al. 2 LTF applicable par le renvoi de l' art. 117 LTF ); l'acte de recours doit, sous peine d'irrecevabilité, nécessairement contenir un exposé succinct des droits ou principes constitutionnels violés et exposer de manière claire et circonstanciée en quoi consiste leur violation ( ATF 134 I 83 consid. 3.2; 134 V 138 consid. 2.1). Dans son recours constitutionnel subsidiaire, la recourante se plaint uniquement d'une violation de l'interdiction constitutionnelle de l'arbitraire ( art. 9 Cst. ), que la cour cantonale aurait commise en se fondant sur la disposition réglementaire subordonnant le versement d'un bonus à la condition que les relations de travail ne sont pas résiliées. Sa motivation est sommaire et se limite à des affirmations; la question de la recevabilité du grief peut toutefois rester indécise. Les juges cantonaux ont certes admis le caractère obligatoire du bonus. Cela signifie que l'intimée ne pouvait pas l'accorder ou le refu-ser selon son bon vouloir, mais en revanche pas qu'elle était obligée de le verser lorsque les conditions fixées dans le contrat de travail ou le règlement d'entreprise applicable n'étaient pas remplies; il n'y a là aucune contradiction. L'intimée a certes renoncé à appliquer son règlement à la lettre dans la mesure où elle a accordé des boni à la recourante en 2005, 2006 et 2007, alors que celle-ci ne remplissait pas entièrement les conditions réglementaires, son taux d'occupation n'ayant été à l'époque que de 40 % au lieu des 50 % exigés par le règlement. Cette bienveillance à l'égard de la recourante n'implique cependant pas nécessairement que l'intimée ait renoncé de manière générale à appliquer son règlement et qu'elle se soit engagée à verser un bonus en toutes circonstances, également dans le cas où le contrat de travail serait résilié; comme le relève pertinemment l'autorité cantonale, si l'octroi de boni les années précédentes était parfaitement compatible avec le but de cette gratification, c'est-à-dire donner une motivation pour les performances futures, cela n'était évidemment plus le cas dès le moment où le contrat était résilié. On ne discerne ainsi pas d'arbitraire à appliquer le règlement sur ce point, ce qui scelle le sort du grief et, partant, du recours constitutionnel subsidiaire, qui doit être rejeté dans la mesure de sa recevabilité.</w:t>
      </w:r>
    </w:p>
    <w:p>
      <w:r>
        <w:rPr>
          <w:b/>
        </w:rPr>
        <w:t>E. 3</w:t>
      </w:r>
    </w:p>
    <w:p>
      <w:r>
        <w:t>Comme la valeur litigieuse, calculée selon les prétentions à l'ouverture de l'action ( ATF 115 II 30 consid. 5b p. 41), ne dépasse pas le seuil de 30'000 fr., le montant de l'émolument judiciaire est fixé selon le tarif réduit ( art. 65 al. 4 let . c LTF). Compte tenu de l'issue du litige, les frais judiciaires sont mis à la charge de la recourante ( art. 66 al. 1 LTF ); celle-ci versera en outre des dépens à l'intimée Y.________ AG, mais pas à la Caisse de chômage qui n'a pas activement pris part à la procédure devant le Tribunal de céans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