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235/2008 vom 23. Juli 2008</w:t>
      </w:r>
    </w:p>
    <w:p>
      <w:r>
        <w:t>Bundesgericht, 2008-07-23, DE</w:t>
      </w:r>
    </w:p>
    <w:p>
      <w:r>
        <w:rPr>
          <w:b/>
        </w:rPr>
        <w:t xml:space="preserve">Quelle: </w:t>
      </w:r>
      <w:r>
        <w:t>https://mcp.opencaselaw.ch/entscheid/bger_4A_235_2008</w:t>
      </w:r>
    </w:p>
    <w:p>
      <w:r>
        <w:t>FR: TF 4A 235/2008 du 23 juillet 2008</w:t>
      </w:r>
    </w:p>
    <w:p>
      <w:r>
        <w:t>IT: TF 4A 235/2008 del 23 luglio 2008</w:t>
      </w:r>
    </w:p>
    <w:p>
      <w:pPr>
        <w:pStyle w:val="Heading2"/>
      </w:pPr>
      <w:r>
        <w:t>Regeste</w:t>
      </w:r>
    </w:p>
    <w:p>
      <w:r>
        <w:t>Werkvertrag; Verjährungsfrist | Vertragsrecht</w:t>
      </w:r>
    </w:p>
    <w:p>
      <w:pPr>
        <w:pStyle w:val="Heading2"/>
      </w:pPr>
      <w:r>
        <w:t>Erwägungen</w:t>
      </w:r>
    </w:p>
    <w:p>
      <w:r>
        <w:rPr>
          <w:b/>
        </w:rPr>
        <w:t>E. 1</w:t>
      </w:r>
    </w:p>
    <w:p>
      <w:r>
        <w:t>Der Beschwerdeführer beantragt im Hauptbegehren die Rückweisung. Der Rückweisungsantrag genügt bzw. ist sogar einzig angezeigt, weil das Bundesgericht - sollte es die Rechtsauffassung des Beschwerdeführers, dass sein Anspruch nicht verjährt sei, für begründet erachten - kein Sachurteil fällen könnte, sondern die Streitsache zur weiteren Abklärung des Sachverhalts und zur Prüfung der noch nicht beurteilten Haftungsvoraussetzungen an die Vorinstanz zurückweisen müsste ( BGE 132 III 186 E. 1.2; 130 III 136 E. 1.2; 125 III 412 E. 1b S. 414). Da auch die anderen Sachurteilsvoraussetzungen erfüllt sind, ist die Beschwerde in Zivilsachen grundsätzlich zulässig.</w:t>
      </w:r>
    </w:p>
    <w:p>
      <w:r>
        <w:rPr>
          <w:b/>
        </w:rPr>
        <w:t>E. 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133 III 439 E. 3.2).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Neue Tatsachen und Beweismittel dürfen nur soweit vorgebracht werden, als der Entscheid der Vorinstanz dazu Anlass gibt ( Art. 99 Abs. 1 BGG ).</w:t>
      </w:r>
    </w:p>
    <w:p>
      <w:r>
        <w:rPr>
          <w:b/>
        </w:rPr>
        <w:t>E. 3</w:t>
      </w:r>
    </w:p>
    <w:p>
      <w:r>
        <w:t>Vorliegend ist streitig, ob die Schadenersatzforderung des Beschwerdeführers, die dieser auf den zwischen den Parteien geschlossenen Vertrag stützt, zu Recht von der Vorinstanz als verjährt erachtet wurde. Unbestritten ist, dass die Verjährungsfrist im Frühjahr 2000 mit der Ersetzung des gebrochenen Holms durch die Beschwerdegegnerin neu zu laufen begann und am 18. November 2002 die erste verjährungsunterbrechende Handlung durch die Eingabe an das Friedensrichteramt Hünenberg erfolgte. Der Beschwerdeführer anerkennt, dass die Verjährung bei Geltung einer einjährigen Verjährungsfrist und selbst bei Annahme einer zweijährigen Verjährungsfrist mit der Eingabe an das Friedensrichteramt nicht rechtzeitig unterbrochen worden wäre. Er stellt sich aber auf den Standpunkt, dass im Zeitpunkt dieser Eingabe die Verjährung noch nicht eingetreten sei, da die fünfjährige Verjährungsfrist nach Art. 180 SIA-Norm 118 oder die fünfjährige werkvertragliche Verjährungsfrist für unbewegliche Bauten nach Art. 371 Abs. 2 OR zur Anwendung gelange.</w:t>
      </w:r>
    </w:p>
    <w:p>
      <w:r>
        <w:rPr>
          <w:b/>
        </w:rPr>
        <w:t>E. 4.1</w:t>
      </w:r>
    </w:p>
    <w:p>
      <w:r>
        <w:t>Der Beschwerdeführer wirft der Vorinstanz zunächst vor, die Klausel in der Auftragsbestätigung betreffend die Garantiebedingungen nicht richtig ausgelegt zu haben. Fälschlicherweise habe sie als nicht erstellt erachtet, dass die Parteien die fünfjährige Verjährungsfrist gemäss Art. 180 SIA-Norm 118 übereinstimmend als anwendbar betrachtet hätten. Die Vorinstanz sei zur Frage der Qualifikation des Vertragsverhältnisses übergegangen, ohne eine umfassende Vertragsauslegung nach dem Vertrauensprinzip vorzunehmen. Damit habe sie Bundesrecht ( Art. 18 OR ) verletzt.</w:t>
      </w:r>
    </w:p>
    <w:p>
      <w:r>
        <w:rPr>
          <w:b/>
        </w:rPr>
        <w:t>E. 4.2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132 III 268 E. 2.3.2 S. 274, 626 E. 3.1 S. 632; 131 III 606 E. 4.1 S. 611,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132 III 24 E. 4 S. 27 f., 268 E. 2.3.2 S. 274 f., 626 E. 3.1 S. 632, je mit Hinweisen).</w:t>
      </w:r>
    </w:p>
    <w:p>
      <w:r>
        <w:rPr>
          <w:b/>
        </w:rPr>
        <w:t>E. 4.3</w:t>
      </w:r>
    </w:p>
    <w:p>
      <w:r>
        <w:t>Die Vorinstanz erwog, die SIA-Norm 118 regle in den Art. 172-177 die Garantiefrist (Rügefrist), in den Art. 178-179 die Rechtslage nach Ablauf der Garantiefrist und in Art. 180 die Verjährung. Die in der Auftragsbestätigung verwendete Formulierung, wonach die "normalen Garantiebedingungen nach SIA 118" gelten würden, deute darauf hin, dass die Parteien auf die Rügefrist nach Art. 172-179 SIA-Norm 118 verweisen wollten. Neben den "normalen Garantiebedingungen nach SIA 118" hätten die Parteien als spezifische Garantiefristen 5 Jahre für die Dichtigkeit und die Standfestigkeit des Silos und 2 Jahre für die Entnahmevorrichtung vereinbart. Unklar sei, ob die Parteien die fünfjährige Verjährungsfrist von Art. 180 SIA-Norm 118 ebenfalls in ihren Vertrag aufnehmen wollten. Zu den im Vertragstext erwähnten spezifischen Garantiefristen habe X.________, Verwaltungsrat der Beschwerdegegnerin, zu Protokoll gegeben, die Garantiefrist von fünf Jahren für die Dichtigkeit bedeute, dass die Beschwerdegegnerin während dieser Frist bei Mängeln des Futters eine Überprüfung der Dichtigkeit mittels Pressionstest vornehmen und allfällige Reparaturen übernehmen müsse. Die Garantie von zwei Jahren für die Entnahmevorrichtung umfasse die kostenlose Lieferung von Ersatzteilen, nicht aber den Ersatz von Verschleissteilen innert dieser Frist. Die Vorinstanz führte weiter aus, diese Darstellung sei seitens des Beschwerdeführers unbestritten geblieben. Entgegen den Erwägungen des Kantonsgerichts lasse sich daraus aber nicht zwingend herleiten, die Parteien hätten für die Garantie und für die Verjährung die gleichen Fristen gemeint. Angesprochen auf die vertraglich vereinbarten Garantiebedingungen habe X.________ ausgesagt, er verstehe dies so, dass er sich an die SIA-Norm halten müsse. Die Vorinstanz erwog weiter, die Aussage stehe klar im Zusammenhang mit den Garantiebedingungen, weshalb daraus nicht ohne Weiteres auf eine umfassende Geltung der SIA-Norm 118 hinsichtlich Garantie und Verjährung für das vorliegende Vertragsverhältnis geschlossen werden könne. Der Beschwerdeführer habe die Aussagen der Gegenpartei nicht bestritten und lediglich bemerkt, er kenne die SIA-Norm 118, die vertraglich übernommen worden sei, vom Baugeschäft her gut. Es könne somit, so die Vorinstanz weiter, weder dem Vereinbarungstext noch den Aussagen der Parteien eine bestimmte Verjährungsabrede für die Entnahmevorrichtung entnommen werden. Damit sei zu prüfen, welche gesetzliche Verjährungsfrist Anwendung finde resp. wie das vorliegende Vertragsverhältnis zu qualifizieren sei.</w:t>
      </w:r>
    </w:p>
    <w:p>
      <w:r>
        <w:rPr>
          <w:b/>
        </w:rPr>
        <w:t>E. 4.4</w:t>
      </w:r>
    </w:p>
    <w:p>
      <w:r>
        <w:t>Die Vorinstanz kam demnach in subjektiver Vertragsauslegung zum Ergebnis, dass die Parteien keine bestimmte Verjährungsabrede treffen und daher insbesondere nicht die Geltung der fünfjährigen Verjährungsfrist nach Art. 180 SIA-Norm 118 vereinbaren wollten. Da die Vorinstanz somit den tatsächlichen übereinstimmenden Willen der Parteien, die Verjährungsfrist nicht speziell zu regeln, festgestellt hat, erübrigte sich eine Auslegung nach dem Vertrauensprinzip. Die entsprechenden Ausführungen des Beschwerdeführers zur objektiven Vertragsauslegung stossen daher ins Leere. Der Beschwerdeführer vermag auch mit seiner Sachverhaltsrüge nicht durchzudringen, die er für den Fall erhebt, dass die Vorinstanz doch den tatsächlichen Willen der Parteien festgestellt haben sollte. Er macht dabei insbesondere geltend, die Vorinstanz habe die Beweise insofern willkürlich gewürdigt, als sie nicht zum Ergebnis gelangt sei, die Parteien hätten die SIA-Norm 118 auch bezüglich der Verjährung für anwendbar erklärt. Dem Beschwerdeführer gelingt es indes nicht, mit seinen Ausführungen Willkür aufzuzeigen und es ist nicht ersichtlich, inwiefern die Vorinstanz bei ihrer subjektiven Vertragsauslegung ihr Ermessen missbraucht, insbesondere unhaltbare Schlüsse gezogen, erhebliche Beweise übersehen oder solche willkürlich ausser Acht gelassen hätte (vgl. BGE 132 III 209 E. 2.1 ; 129 I 8 E. 2.1; 120 Ia 31 E. 4b S. 40; 118 Ia 28 E. 1b S. 30). Schliesslich rügt der Beschwerdeführer in diesem Zusammenhang eine Gehörsverletzung ( Art. 29 Abs. 2 BV ). Die Vorinstanz habe sich mit seinen Vorbringen in der Berufungsschrift zur Vertragsauslegung unter Ziff. 8 ff. überhaupt nicht befasst und ihm dadurch das rechtliche Gehör verweigert. Es ist fraglich, ob er damit überhaupt den Begründungsanforderungen gerecht wird, da er lediglich pauschal auf mehrere Seiten seiner Beschwerdeschrift verweist, ohne detailliert aufzuzeigen, mit welchen Argumenten sich die Vorinstanz nicht auseinander gesetzt hätte (vgl. Erwägung 2). Die Rüge erweist sich aber ohnehin als unbehelflich, denn es ist nicht erforderlich, dass sich die Vorinstanz im Entscheid mit allen Parteistandpunkten einlässlich auseinander setzt und jedes einzelne Vorbringen ausdrücklich widerlegt. Es genügt, wenn der Entscheid gegebenenfalls sachgerecht angefochten werden kann ( BGE 133 III 439 E. 3.3 S. 445 ; 129 I 232 E. 3.2 S. 236 ; 126 I 97 E. 2b S. 102 f., je mit Hinweisen).</w:t>
      </w:r>
    </w:p>
    <w:p>
      <w:r>
        <w:rPr>
          <w:b/>
        </w:rPr>
        <w:t>E. 5</w:t>
      </w:r>
    </w:p>
    <w:p>
      <w:r>
        <w:t>Nachdem die Vorinstanz zum Schluss kam, die Parteien hätten keine Abrede über die Verjährung getroffen, prüfte sie, welche gesetzliche Verjährungsfrist zur Anwendung gelangt resp. wie das vorliegende Vertragsverhältnis zu qualifizieren ist. Der Beschwerdeführer erblickt eine Bundesrechtsverletzung darin, dass die Vorinstanz keinen Werkvertrag, sondern einen Kaufvertrag mit Montagepflicht resp. in ihrer Eventualbegründung ein aus Kauf- und Werkvertrag gemischtes Vertragsverhältnis annahm und in der Folge somit nicht die fünfjährige Verjährungsfrist nach Art. 371 Abs. 2 OR , sondern die einjährige Verjährungsfrist nach Art. 210 Abs. 1 OR für anwendbar erklärte.</w:t>
      </w:r>
    </w:p>
    <w:p>
      <w:r>
        <w:rPr>
          <w:b/>
        </w:rPr>
        <w:t>E. 5.1</w:t>
      </w:r>
    </w:p>
    <w:p>
      <w:r>
        <w:t>Beim Werkvertrag verjähren die Gewährleistungsansprüche wegen Mängel eines unbeweglichen Bauwerkes mit Ablauf von fünf Jahren seit der Abnahme ( Art. 371 Abs. 2 OR ), während bei den anderen Werken die Verjährungsfrist bloss ein Jahr beträgt (Art. 371 Abs. 1 i.V.m. Art. 210 Abs. 1 OR ). Der Werklieferungsvertrag untersteht, was die Haftung des Unternehmers für die durch mangelhaften Stoff bewirkten Werkmängel betrifft, ebenfalls der werkvertraglichen Verjährungsregelung nach Art. 371 OR ( BGE 117 II 425 E. 3 S. 428 f.). Nach den kaufrechtlichen Bestimmungen verjährt beim Grundstückkauf die Pflicht zur Gewährleistung für die Mängel eines Gebäudes mit Ablauf von fünf Jahren, vom Erwerb des Eigentums an gerechnet ( Art. 219 Abs. 3 OR ). Diese Verjährungsbestimmung bezieht sich auf bebaute und unüberbaute Grundstücke ( BGE 104 II 265 E. 3 S. 270). Bei anderen Sachen verjähren Klagen auf Gewährleistung wegen Mängel der Sache mit Ablauf eines Jahres nach deren Ablieferung an den Käufer ( Art. 210 Abs. 1 OR ).</w:t>
      </w:r>
    </w:p>
    <w:p>
      <w:r>
        <w:rPr>
          <w:b/>
        </w:rPr>
        <w:t>E. 5.2</w:t>
      </w:r>
    </w:p>
    <w:p>
      <w:r>
        <w:t>Die Vorinstanz und die Parteien sind implizit von der Annahme ausgegangen, dass das streitige Silo - im Fall der Qualifikation des Vertragsverhältnisses als Werkvertrag - ein unbewegliches Bauwerk darstellen würde, hingegen - im Fall des Vorliegens eines Kaufvertrags - nicht als Grundstück zu betrachten wäre. Die Vorinstanz ging zu Recht davon aus, dass das streitige Silo kein Grundstück im Sinne von Art. 655 ZGB darstellt, auf welches bei Vorliegen eines Kaufvertrags die speziellen Bestimmungen des Grundstückkaufs nach Art. 216 ff. OR und somit die fünfjährige Verjährungsfrist nach Art. 219 Abs. 3 OR zur Anwendung kämen. Demgegenüber ist fraglich, ob das Silo als unbewegliches Bauwerk im Sinne von Art. 371 Abs. 2 OR zu qualifizieren ist. Dies beurteilt das Bundesgericht als Rechtsfrage, ohne dabei an die Rechtsauffassung der Vorinstanz oder der Parteien gebunden zu sein (vgl. Art. 106 Abs. 1 BGG ).</w:t>
      </w:r>
    </w:p>
    <w:p>
      <w:r>
        <w:rPr>
          <w:b/>
        </w:rPr>
        <w:t>E. 5.3</w:t>
      </w:r>
    </w:p>
    <w:p>
      <w:r>
        <w:t>Die Vorinstanz stellte vorliegend in tatsächlicher Hinsicht fest, dass das Silo von der B.________ Co. hergestellt worden sei und die Entnahmevorrichtung von der Firma C.________ stamme. Es handle sich bei den Montageteilen um Standardartikel, die beim Hersteller in Form eines Serienprodukts bezogen worden seien. Der Beschwerdeführer habe selbst das Fundament für das Silo erstellt und die Montagepunkte gesetzt. Die Einbauteile seien von der Beschwerdegegnerin geliefert und auf die Montagepunkte versetzt worden. Das Silo lasse sich im Übrigen einfacher als ein Heizkessel, eine Steuerungsanlage oder ein Lift wieder abmontieren und an einem neuen Ort aufbauen. Es könne ohne erheblichen Wertverlust wieder demontiert werden. Dem Prospekt der Z.________-Systeme lasse sich entnehmen, dass die Z.________-Behälter "zerlegt und umgesetzt" werden könnten, und dass der Vertragshändler möglicherweise auch einen gebrauchten Behälter anbieten könne.</w:t>
      </w:r>
    </w:p>
    <w:p>
      <w:r>
        <w:rPr>
          <w:b/>
        </w:rPr>
        <w:t>E. 5.4</w:t>
      </w:r>
    </w:p>
    <w:p>
      <w:r>
        <w:t>Die Sachverhaltsrügen, die der Beschwerdeführer in diesem Zusammenhang vorbringt, erweisen sich als unbehelflich. Er rügt insbesondere die Feststellungen der Vorinstanz als offensichtlich unhaltbar und willkürlich, wonach sich das Silo einfacher als eine Heizungsanlage oder ein Lifteinbau wieder abmontieren sowie an einem neuen Ort aufbauen liesse und wonach ein Z.________-Behälter zerlegt und umgesetzt werden könne. Indem er dazu lediglich seine eigene Sicht der Dinge schildert, es aber unterlässt, substantiiert aufzuzeigen, inwiefern die Sachverhaltsfeststellungen der Vorinstanz offensichtlich unrichtig wären oder auf einer Rechtsverletzung im Sinne von Art. 95 BGG beruhen würden, vermag er den Begründungsanforderungen an eine Sachverhaltsrüge nicht zu genügen (vgl. Erwägung 2). In seinen Ausführungen, weshalb ein Werklieferungsvertrag vorliege, der die Anwendung der werkvertraglichen Gewährleistungsregeln nach sich ziehen würde, erweitert der Beschwerdeführer zudem den tatsächlich festgestellten Sachverhalt über weite Strecken, ohne rechtsgenüglich begründete Sachverhaltsrügen zu erheben (vgl. Erwägung 2). So insbesondere, wenn er vorbringt, die Montage der Bestandteile habe ein hohes Fachwissen von Spezialisten und einen besonderen Arbeitsaufwand erfordert. Ebenso, wenn er geltend macht, die Siloanlage bestehe nicht nur aus einem Z.________-Behälter, sondern aus zahlreichen, teilweise individuell für die Begebenheiten auf seinem Grundstück hergestellten Komponenten und es würde sich um eine individuell angepasste Arbeit mit technischen Bestandteilen handeln, die nicht einfach in irgendeinem Laden zusammengekauft werden könnten. Der Beschwerdeführer dringt zudem mit seinen in diesem Zusammenhang erhobenen Rügen der Gehörsverletzung ( Art. 29 Abs. 2 BV ) nicht durch. Er vermag mit seinen Vorbringen, wonach die Vorinstanz es unterlassen habe, einen von ihm beantragten Augenschein durchzuführen, um sich über die Siloanlage als Ganzes ein Bild zu machen, keine Gehörsverletzung aufzuzeigen. Da die Vorinstanz den massgeblichen Sachverhalt als genügend abgeklärt erachtete und der Augenschein ihrer Ansicht nach keine weitere Klärung gebracht hätte, konnte sie auf die Durchführung des Augenscheins verzichten, ohne damit das rechtliche Gehör zu verletzen. Eine Gehörsverletzung liegt nämlich insbesondere dann nicht vor, wenn das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werde ( BGE 134 I 140 E. 5.3 ; 131 I 153 E. 3 S. 157; 130 II 425 E. 2.1 S. 428 f. ; 124 I 208 E. 4a S. 211, je mit Hinweisen).</w:t>
      </w:r>
    </w:p>
    <w:p>
      <w:r>
        <w:rPr>
          <w:b/>
        </w:rPr>
        <w:t>E. 5.5</w:t>
      </w:r>
    </w:p>
    <w:p>
      <w:r>
        <w:t>Es bleibt demnach beim vorinstanzlich festgestellten Sachverhalt. Gestützt auf diesen ergibt sich aber, dass für den Fall der Qualifikation des vorliegenden Vertragsverhältnisses als Werkvertrag das Silo nicht als unbewegliches Bauwerk im Sinne von Art. 371 Abs. 2 OR zu betrachten wäre. Denn da sich das Silo einfach sowie ohne erheblichen Wertverlust wieder abmontieren und an einem neuen Ort aufbauen lässt, ist dieses trotz seiner Montage auf dem vorgelegten Fundament nicht im Sinne eines unbeweglichen Bauwerks dauerhaft fest mit dem Erdboden verbunden (vgl. BGE 96 II 181 E. 3a S. 184; 92 II 227 E. 2c S. 232). Auch verbietet die Ausgestaltung des Silos als vorfabriziertes Serienprodukt, dieses seiner Natur nach als "Bauwerk" anzusprechen (vgl. BGE 93 II 242 E. 2b S. 246). Schliesslich greift der Zweckgedanke der fünfjährigen Verjährungsfrist von Art. 371 Abs. 2 OR vorliegend nicht. Das Silo bildet nämlich nicht eine Sache, für die typischerweise erst nach längerer Zeit festgestellt werden kann, ob sie den Anforderungen der Festigkeit oder den geologischen und atmosphärischen Verhältnissen standhält oder ob sie diesbezüglich mangelhaft ist ( BGE 117 II 425 E. 3 S. 428; 93 II 242 E. 2a S. 245). Ob somit die Parteien einen Kaufvertrag, einen Werkvertrag oder einen gemischten Vertrag abgeschlossen haben, kann offen gelassen werden, da dies auf die Dauer der anwendbaren Verjährungsfrist keinen Einfluss hat. Die einjährige Verjährungsfrist kommt sowohl bei einer Qualifikation als Werkvertrag (Art. 371 Abs. 1 i.V.m. Art. 210 Abs. 1 OR ) als auch bei einer Qualifikation als Kaufvertrag ( Art. 210 Abs. 1 OR ) zur Anwendung. Demzufolge hat die Vorinstanz im Ergebnis nicht Bundesrecht verletzt, indem sie von einer einjährigen gesetzlichen Verjährungsfrist ausgegangen ist.</w:t>
      </w:r>
    </w:p>
    <w:p>
      <w:r>
        <w:rPr>
          <w:b/>
        </w:rPr>
        <w:t>E. 6</w:t>
      </w:r>
    </w:p>
    <w:p>
      <w:r>
        <w:t>Die Beschwerde ist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