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4A_234/2019 vom 9. Juli 2019</w:t>
      </w:r>
    </w:p>
    <w:p>
      <w:r>
        <w:t>Bundesgericht, 2019-07-09, FR</w:t>
      </w:r>
    </w:p>
    <w:p>
      <w:r>
        <w:rPr>
          <w:b/>
        </w:rPr>
        <w:t xml:space="preserve">Quelle: </w:t>
      </w:r>
      <w:r>
        <w:t>https://mcp.opencaselaw.ch/entscheid/bger_4A_234_2019</w:t>
      </w:r>
    </w:p>
    <w:p>
      <w:r>
        <w:t>FR: TF 4A_234/2019 du 9 juillet 2019</w:t>
      </w:r>
    </w:p>
    <w:p>
      <w:r>
        <w:t>IT: TF 4A_234/2019 del 9 luglio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4A_234/2019</w:t>
      </w:r>
    </w:p>
    <w:p>
      <w:r>
        <w:t>Arrêt du 9 juillet 2019</w:t>
      </w:r>
    </w:p>
    <w:p>
      <w:r>
        <w:t>Ire Cour de droit civil</w:t>
      </w:r>
    </w:p>
    <w:p>
      <w:r>
        <w:t>Composition</w:t>
      </w:r>
    </w:p>
    <w:p>
      <w:r>
        <w:t>Mme la juge Kiss, Présidente de la Cour.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Z.________,</w:t>
      </w:r>
    </w:p>
    <w:p>
      <w:r>
        <w:t>intimé.</w:t>
      </w:r>
    </w:p>
    <w:p>
      <w:r>
        <w:t>Objet</w:t>
      </w:r>
    </w:p>
    <w:p>
      <w:r>
        <w:t>arbitrage international en matière de sport</w:t>
      </w:r>
    </w:p>
    <w:p>
      <w:r>
        <w:t>recours contre la sentence arbitrale finale rendue le 20 avril 2019 par le Tribunal arbitral du sport (CAS 2017/A/5219).</w:t>
      </w:r>
    </w:p>
    <w:p>
      <w:r>
        <w:t>Considérant :</w:t>
      </w:r>
    </w:p>
    <w:p>
      <w:r>
        <w:t>Que X.________ a été l'administrateur unique de la société U.________ SA, alors à Montreux, actuellement radiée du registre du commerce par suite de faillite;</w:t>
      </w:r>
    </w:p>
    <w:p>
      <w:r>
        <w:t>Que la société se consacrait notamment au management de sportifs et au placement de joueurs de football;</w:t>
      </w:r>
    </w:p>
    <w:p>
      <w:r>
        <w:t>Qu'au cours de l'année 2011, le club Z.________, aux Emirats arabes unis, a souhaité se faire transférer le joueur J.________;</w:t>
      </w:r>
    </w:p>
    <w:p>
      <w:r>
        <w:t>Que X.________ a pris part aux négociations entreprises avec le club transférant;</w:t>
      </w:r>
    </w:p>
    <w:p>
      <w:r>
        <w:t>Que pour rémunération des services ainsi rendus, il a réclamé du club Z.________ une commission au montant de 900'000 euros;</w:t>
      </w:r>
    </w:p>
    <w:p>
      <w:r>
        <w:t>Qu'il a élevé cette prétention devant le juge unique de la Commission du Statut du Joueur de la Fédération Internationale de Football Association (FIFA);</w:t>
      </w:r>
    </w:p>
    <w:p>
      <w:r>
        <w:t>Que le juge unique l'a débouté par sentence du 28 février 2017;</w:t>
      </w:r>
    </w:p>
    <w:p>
      <w:r>
        <w:t>Que X.________ a appelé de cette sentence au Tribunal arbitral du sport (TAS);</w:t>
      </w:r>
    </w:p>
    <w:p>
      <w:r>
        <w:t>Qu'il élevait désormais une prétention au montant de 1'500'000 euros en capital;</w:t>
      </w:r>
    </w:p>
    <w:p>
      <w:r>
        <w:t>Que le club défendeur a contesté la recevabilité de l'appel;</w:t>
      </w:r>
    </w:p>
    <w:p>
      <w:r>
        <w:t>Qu'il a en outre contesté la qualité pour agir de X.________;</w:t>
      </w:r>
    </w:p>
    <w:p>
      <w:r>
        <w:t>Que selon ses allégations, X.________ traitait au nom et pour le compte de U.________ SA dont il était l'organe, de sorte que seule cette personne morale était par hypothèse créancière d'une rémunération;</w:t>
      </w:r>
    </w:p>
    <w:p>
      <w:r>
        <w:t>Que le Tribunal arbitral du sport a statué le 20 avril 2018;</w:t>
      </w:r>
    </w:p>
    <w:p>
      <w:r>
        <w:t>Qu'il a admis la recevabilité de l'appel;</w:t>
      </w:r>
    </w:p>
    <w:p>
      <w:r>
        <w:t>Qu'il a rejeté cet appel et confirmé le prononcé du juge unique;</w:t>
      </w:r>
    </w:p>
    <w:p>
      <w:r>
        <w:t>Que selon les motifs de sa sentence, X.________ n'a pas qualité pour agir et le club défendeur peut sans abus de droit faire valoir la dualité juridique de U.________ SA, d'une part, et de son organe unique d'autre part;</w:t>
      </w:r>
    </w:p>
    <w:p>
      <w:r>
        <w:t>Que la sentence est motivée de manière détaillée sur chaque moyen de chaque partie;</w:t>
      </w:r>
    </w:p>
    <w:p>
      <w:r>
        <w:t>Que X.________ exerce le recours en matière civile auprès du Tribunal fédéral;</w:t>
      </w:r>
    </w:p>
    <w:p>
      <w:r>
        <w:t>Que ce recours est en principe disponible en vertu de l'art. 77 al. 1 let. a de la loi fédérale sur le Tribunal fédéral (LTF), relatif à l'arbitrage international;</w:t>
      </w:r>
    </w:p>
    <w:p>
      <w:r>
        <w:t>Qu'à teneur de l' art. 42 al. 1 et 2 LTF , le recours adressé au Tribunal fédéral doit comporter des conclusions et des motifs (al. 1);</w:t>
      </w:r>
    </w:p>
    <w:p>
      <w:r>
        <w:t>Que les motifs doivent exposer succinctement en quoi la décision attaquée viole le droit (al. 2);</w:t>
      </w:r>
    </w:p>
    <w:p>
      <w:r>
        <w:t>Que la partie recourante doit discuter les motifs de cette décision et indiquer précisément en quoi elle estime que l'autorité précédente ou le tribunal arbitral a méconnu le droit;</w:t>
      </w:r>
    </w:p>
    <w:p>
      <w:r>
        <w:t>Que les griefs recevables sont énumérés de manière exhaustive à l' art. 190 al. 2 LDIP ;</w:t>
      </w:r>
    </w:p>
    <w:p>
      <w:r>
        <w:t>Qu'à la lecture de l'acte de recours, il est indispensable que l'on comprenne clairement quelles règles ont été prétendument transgressées ( ATF 140 III 86 consid. 2 p. 89);</w:t>
      </w:r>
    </w:p>
    <w:p>
      <w:r>
        <w:t>Que ces exigences ne sont pas satisfaites en l'espèce;</w:t>
      </w:r>
    </w:p>
    <w:p>
      <w:r>
        <w:t>Que l'acte de recours est une lettre d'une seule page entièrement dépourvue de conclusions et de motifs;</w:t>
      </w:r>
    </w:p>
    <w:p>
      <w:r>
        <w:t>Que le Tribunal fédéral est simplement requis de « bien vouloir examiner à nouveau le dossier »;</w:t>
      </w:r>
    </w:p>
    <w:p>
      <w:r>
        <w:t>Que le recours en matière civile est par conséquent irrecevable au regard de l' art. 42 al. 1 et 2 LTF ;</w:t>
      </w:r>
    </w:p>
    <w:p>
      <w:r>
        <w:t>Que son auteur doit acquitter l'émolument à percevoir par le Tribunal fédéral.</w:t>
      </w:r>
    </w:p>
    <w:p>
      <w:r>
        <w:t>Par ces motifs, vu l' art. 108 al. 1 let. b LTF , le Tribunal fédéral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 recourant acquittera un émolument judiciaire de 500 francs.</w:t>
      </w:r>
    </w:p>
    <w:p>
      <w:r>
        <w:t>3.</w:t>
      </w:r>
    </w:p>
    <w:p>
      <w:r>
        <w:t>Le présent arrêt est communiqué aux parties et au Tribunal arbitral du sport.</w:t>
      </w:r>
    </w:p>
    <w:p>
      <w:r>
        <w:t>Lausanne, le 9 juillet 2019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