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233/2019 vom 19. August 2019</w:t>
      </w:r>
    </w:p>
    <w:p>
      <w:r>
        <w:t>Bundesgericht, 2019-08-19, FR</w:t>
      </w:r>
    </w:p>
    <w:p>
      <w:r>
        <w:rPr>
          <w:b/>
        </w:rPr>
        <w:t xml:space="preserve">Quelle: </w:t>
      </w:r>
      <w:r>
        <w:t>https://mcp.opencaselaw.ch/entscheid/bger_4A_233_2019</w:t>
      </w:r>
    </w:p>
    <w:p>
      <w:r>
        <w:t>FR: TF 4A 233/2019 du 19 août 2019</w:t>
      </w:r>
    </w:p>
    <w:p>
      <w:r>
        <w:t>IT: TF 4A 233/2019 del 19 agosto 2019</w:t>
      </w:r>
    </w:p>
    <w:p>
      <w:pPr>
        <w:pStyle w:val="Heading2"/>
      </w:pPr>
      <w:r>
        <w:t>Regeste</w:t>
      </w:r>
    </w:p>
    <w:p>
      <w:r>
        <w:t>mandat; condition suspensive | Droit des contrats</w:t>
      </w:r>
    </w:p>
    <w:p>
      <w:pPr>
        <w:pStyle w:val="Heading2"/>
      </w:pPr>
      <w:r>
        <w:t>Erwägungen</w:t>
      </w:r>
    </w:p>
    <w:p>
      <w:r>
        <w:rPr>
          <w:b/>
        </w:rPr>
        <w:t>E. 1.1</w:t>
      </w:r>
    </w:p>
    <w:p>
      <w:r>
        <w:t>Interjeté en temps utile ( art. 100 al. 1 LTF ) par la partie demanderesse qui a succombé dans ses conclusions en paiement et qui a donc qualité pour recourir ( art. 76 al. 1 LTF ), dirigé contre une décision finale ( art. 90 LTF ) rendue par un tribunal supérieur statuant sur recours ( art. 75 LTF ) dans une affaire pécuniaire dont la valeur litigieuse atteint le seuil de 30'000 fr. ( art. 74 al. 1 let. b LTF ), le recours en matière civile est en principe recevable.</w:t>
      </w:r>
    </w:p>
    <w:p>
      <w:r>
        <w:rPr>
          <w:b/>
        </w:rPr>
        <w:t>E. 1.2</w:t>
      </w:r>
    </w:p>
    <w:p>
      <w:r>
        <w:t>L'art. 4 ch. 1 de l'Accord entre le Conseil fédéral suisse et X.________ pour régler le statut juridique de cette organisation en Suisse (RS 0.192.122.52) prévoit que X.________ jouit de l'immunité de juridiction pénale, civile et administrative, sauf dans la mesure où cette immunité a été formellement levée par le Secrétaire général de l'Organisation ou son représentant dûment autorisé. Il ressort de l'arrêt entrepris que l'intimée a accepté la levée de son immunité de juridiction.</w:t>
      </w:r>
    </w:p>
    <w:p>
      <w:r>
        <w:rPr>
          <w:b/>
        </w:rPr>
        <w:t>E. 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 arbitraires" ( ATF 140 III 115 consid. 2 p. 117; 135 III 397 consid. 1.5). Encore faut-il que la correction du vice soit susceptible d'influer sur le sort de la cause ( art. 97 al. 1 LTF ). 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3</w:t>
      </w:r>
    </w:p>
    <w:p>
      <w:r>
        <w:t>Le recourant fait grief à la cour cantonale d'avoir violé l' art. 156 CO .</w:t>
      </w:r>
    </w:p>
    <w:p>
      <w:r>
        <w:rPr>
          <w:b/>
        </w:rPr>
        <w:t>E. 3.1</w:t>
      </w:r>
    </w:p>
    <w:p>
      <w:r>
        <w:t>L'autorité précédente a retenu que les parties avaient été liées par un contrat de mandat à titre onéreux. Elle a noté que la rémunération de l'appelant était conditionnée à l'ouverture d'un bureau régional de l'intimée au Soudan. Cette condition suspensive ( art. 151 CO ) ne s'étant pas réalisée, le recourant n'a - de l'avis de la juridiction précédente - droit ni au défraiement des frais engagés, ni à la rémunération de son activité d'intermédiaire ou de futur potentiel directeur dudit bureau. S'agissant de l' art. 156 CO , la cour cantonale a estimé que l'application de cette disposition présupposait un lien de causalité adéquate entre le comportement contraire à la bonne foi et le défaut de réalisation de la condition. Elle a établi que l'intimée a apporté des modifications au titre et à la rubrique " définitions " de la convention à la suite de la signature de l'accord de siège et que le gouvernement soudanais a refusé ces modifications et déclaré renoncer à la création du bureau régional. Constatant que ce n'est pas l'intimée mais bel et bien les autorités soudanaises qui ont mis un terme au projet, l'autorité précédente n'a discerné aucun comportement déloyal ni contraire aux règles de la bonne foi de l'intimée. Elle a estimé, de plus, que l'intimée ne s'était jamais engagée à faire aboutir le projet de création d'un bureau et que la simple expectative du recourant d'être engagé comme directeur de ce bureau n'était pas suffisante pour retenir une violation des règles de la bonne foi. Pour le surplus, elle a estimé qu'il ne ressortait pas de la procédure pour quels motifs les autorités soudanaises ont décidé d'abandonner le projet en cause.</w:t>
      </w:r>
    </w:p>
    <w:p>
      <w:r>
        <w:rPr>
          <w:b/>
        </w:rPr>
        <w:t>E. 3.2</w:t>
      </w:r>
    </w:p>
    <w:p>
      <w:r>
        <w:t>Le recourant estime qu'il était évident que la République du Soudan était disposée à accorder un financement au projet d'établissement d'un bureau régional essentiellement pour des motifs de rayonnement diplomatique et que, dès lors, ce financement reposait nécessairement sur le caractère régional du futur bureau. En faisant passer le statut du potentiel futur bureau de X.________ de bureau régional à simple bureau national, l'intimée aurait dénaturé le projet initial en totale contradiction avec les volontés exprimées clairement jusqu'alors par les différents acteurs et en particulier par elle-même. En modifiant soudainement le statut du bureau dont l'établissement était envisagé, l'intimée aurait " torpillé " le projet auquel le recourant se consacrait depuis des mois, le privant des gratifications qu'il aurait perçues en cas d'établissement du bureau. De l'avis du recourant, le rejet par la République du Soudan de l'abandon du caractère régional du bureau était à la fois légitime et prévisible, l'intimée ne pouvant à ses yeux raisonnablement ignorer qu'une telle modification unilatérale signait l'arrêt de mort du projet. Le recourant évoque les nombreux documents desquels ressortirait le caractère régional du potentiel futur bureau de X.________, certains de ces documents mentionnant expressément un " bureau régional pour le Moyen-Orient et l'Afrique ". Il en déduit qu'il ne faisait aucun doute pour les parties que l'objet du mandat était la création d'un bureau régional couvrant le Moyen-Orient et l'Afrique et non pas un simple bureau national dont le champ d'action géographique serait limité aux frontières du Soudan. L'amendement unilatéral apporté par l'intimée ayant pour conséquence de transformer le bureau régional en bureau national modifiait la substance du projet initial, objet du mandat entre les parties. De l'attente justifiée du recourant découlait une obligation de l'intimée de s'abstenir de toute action qui irait à l'encontre ou anéantirait le projet du bureau régional pour le Moyen-Orient et l'Afrique en République du Soudan. En estimant que les conditions de l'application de l' art. 156 CO n'étaient pas remplies, la cour cantonale aurait ignoré la mauvaise foi dont aurait fait preuve l'intimée. Dans la deuxième partie de son argumentation, développée " à de strictes fins de discussion ", le recourant évoque l'hypothèse selon laquelle les parties n'auraient pas eu la même compréhension du sens des termes " Bureau régional de X.________ au Soudan ". Même si pareille hypothèse devait être retenue, le recourant allègue qu'une interprétation normative de la volonté des parties permettrait d'aboutir à la conclusion qu'il pouvait - au vu notamment de la définition du terme " régional " et de son utilisation dans l'univers des organisations internationales - de bonne foi partir du principe que le champ d'action du bureau envisagé n'était pas limité au Soudan mais devait s'étendre aux pays du Moyen-Orient et de l'Afrique.</w:t>
      </w:r>
    </w:p>
    <w:p>
      <w:r>
        <w:rPr>
          <w:b/>
        </w:rPr>
        <w:t>E. 3.3</w:t>
      </w:r>
    </w:p>
    <w:p>
      <w:r>
        <w:t>L'argumentation du recourant repose intégralement sur la prémisse selon laquelle l'unique raison de l'abandon du projet de création d'un bureau de X.________ sur le territoire soudanais était la modification unilatérale par l'intimée du statut dudit bureau, le faisant passer d'un bureau régional pour le Moyen-Orient et l'Afrique à un bureau au champ d'action limité au territoire de la République du Soudan. Force est de constater que ceci ne ressort pas de l'arrêt entrepris. Si les autorités soudanaises ont indéniablement précisé dans la décision d'abandon du projet leur refus de la suppression des termes " pour le Moyen-Orient et l'Afrique ", l'autorité précédente a constaté que les motifs de la décision d'abandonner le projet en cause ne ressortaient pas des éléments du dossier. Ce constat de faits, dont le recourant n'allègue en rien en quoi il serait arbitraire, lie le Tribunal fédéral (cf. supra, consid. 2). L'unique grief du recourant étant basé sur un état de fait qui s'écarte de celui contenu dans la décision attaquée, il n'y a pas lieu d'entrer en matière.</w:t>
      </w:r>
    </w:p>
    <w:p>
      <w:r>
        <w:rPr>
          <w:b/>
        </w:rPr>
        <w:t>E. 4</w:t>
      </w:r>
    </w:p>
    <w:p>
      <w:r>
        <w:t>Il résulte des considérations qui précèdent que le recours doit être déclaré irrecevable. Faute de chances de succès du recours, la requête d'assistance judiciaire pour la procédure fédérale déposée par le recourant ne saurait être agréée ( art. 64 al. 1 LTF ). Les frais sont mis à la charge du recourant, qui succombe ( art. 66 al. 1 LTF ). L'intimée, qui n'a eu à se déterminer que sur la requête d'effet suspensif, a droit à des dépens réduits ( art. 68 al. 1 et 2 LTF ). Le prononcé du présent arrêt sur le fond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