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233/2010 vom 28. Juli 2010</w:t>
      </w:r>
    </w:p>
    <w:p>
      <w:r>
        <w:t>Bundesgericht, 2010-07-28, FR</w:t>
      </w:r>
    </w:p>
    <w:p>
      <w:r>
        <w:rPr>
          <w:b/>
        </w:rPr>
        <w:t xml:space="preserve">Quelle: </w:t>
      </w:r>
      <w:r>
        <w:t>https://mcp.opencaselaw.ch/entscheid/bger_4A_233_2010</w:t>
      </w:r>
    </w:p>
    <w:p>
      <w:r>
        <w:t>FR: TF 4A 233/2010 du 28 juillet 2010</w:t>
      </w:r>
    </w:p>
    <w:p>
      <w:r>
        <w:t>IT: TF 4A 233/2010 del 28 luglio 2010</w:t>
      </w:r>
    </w:p>
    <w:p>
      <w:pPr>
        <w:pStyle w:val="Heading2"/>
      </w:pPr>
      <w:r>
        <w:t>Regeste</w:t>
      </w:r>
    </w:p>
    <w:p>
      <w:r>
        <w:t>exécution d'une sentence arbitrale étrangère | Droit des contrats</w:t>
      </w:r>
    </w:p>
    <w:p>
      <w:pPr>
        <w:pStyle w:val="Heading2"/>
      </w:pPr>
      <w:r>
        <w:t>Erwägungen</w:t>
      </w:r>
    </w:p>
    <w:p>
      <w:r>
        <w:rPr>
          <w:b/>
        </w:rPr>
        <w:t>E. 1.1</w:t>
      </w:r>
    </w:p>
    <w:p>
      <w:r>
        <w:t>Le recours en matière civile soumis à l'examen du Tribunal fédéral a été interjeté par une partie qui a pris part à la procédure devant l'autorité précédente et a succombé dans ses conclusions ( art. 76 al. 1 LTF ). Il est dirigé contre une décision finale ( art. 90 LTF ) ayant pour objet la reconnaissance et l'exécution d'une sentence arbitrale et d'un jugement étrangers (art. 72 al. 2 let. b ch. 1 LTF), ainsi que la mainlevée définitive de l'opposition à un commandement de payer ( ATF 134 III 115 consid. 1.1). Cette décision a été prise par une autorité cantonale de dernière instance ( art. 75 al. 1 LTF ) dans une affaire pécuniaire dont la valeur litigieuse dépasse le seuil de 30'000 fr. fixé à l' art. 74 al. 1 let. b LTF pour la recevabilité du recours en matière civile. Le recours en question, qui a été déposé dans le délai ( art. 100 al. 1 LTF ) et la forme ( art. 42 LTF ) prévus par la loi, est donc, en principe, recevable. Dès lors, le recours constitutionnel formé simultanément par la recourante est irrecevable en raison de son caractère subsidiaire ( art. 113 LTF ).</w:t>
      </w:r>
    </w:p>
    <w:p>
      <w:r>
        <w:rPr>
          <w:b/>
        </w:rPr>
        <w:t>E. 1.2</w:t>
      </w:r>
    </w:p>
    <w:p>
      <w:r>
        <w:t>Pour s'opposer à la recevabilité du recours en matière civile, l'intimée soutient que la recourante aurait dû s'en prendre au jugement rendu par le Tribunal de première instance, étant donné que l'arrêt de la Cour de justice, rendu dans le cadre d'un appel extraordinaire, s'est borné à rejeter le recours formé contre ledit jugement. Elle a tort. En effet, tel que la cour cantonale le décrit elle-même au considérant 2 de son arrêt, son pouvoir d'examen n'était pas plus restreint que celui du Tribunal fédéral lorsqu'il statue sur un recours en matière civile. Aussi la recourante pouvait-elle se contenter d'attaquer l'arrêt rendu sur appel. En demandant que l'intimée soit déboutée de toutes ses conclusions, elle a du reste conclu implicitement au rejet des requêtes d'exequatur et de mainlevée formulées par cette partie, de sorte que son recours apparaît également recevable au regard de l' art. 107 al. 2 LTF . Tombe à faux le reproche fait par l'intimée à la recourante, toujours sous l'angle de la recevabilité, de n'avoir pas attaqué l'arrêt cantonal en tant qu'il a fondé la décision de mainlevée définitive sur le jugement américain du 16 avril 2008 et pas seulement sur la sentence arbitrale du 13 février 2008. De fait, il n'est pas du tout établi que la cour américaine, qui a d'ailleurs statué très peu de temps après que ladite sentence avait été rendue, par une décision apparemment non motivée au demeurant, ait eu le pouvoir de modifier la sentence arbitrale, si bien que son prononcé se serait substitué à cette dernière, ne pouvant dès lors être reconnu et exécuté qu'aux conditions des art. 25 ss LDIP (cf. arrêt 4A_137/2007 du 20 juillet 2007 consid. 5 et les auteurs cités). Il ressort, au contraire, de l'arrêt attaqué que le litige, au niveau cantonal, n'a tourné qu'autour de l'exécution de la sentence arbitrale, à l'exclusion de celle du jugement américain.</w:t>
      </w:r>
    </w:p>
    <w:p>
      <w:r>
        <w:rPr>
          <w:b/>
        </w:rPr>
        <w:t>E. 1.3.1</w:t>
      </w:r>
    </w:p>
    <w:p>
      <w:r>
        <w:t>Le recours en matière civile peut être interjeté pour violation du droit, tel qu'il est délimité par les art. 95 et 96 LTF . Saisi d'un recours pour violation d'un traité international (cf. art. 95 let. b LTF ), le Tribunal fédéral examine librement le mérite des moyens pris d'une transgression du droit conventionnel.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Toutefois, compte tenu de l'exigence de motivation posée par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Lorsqu'il statue sur 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appartient au recourant de soulever expressément un grief à ce propos et de présenter une démonstration claire et circonstanciée ( art. 106 al. 2 LTF ; ATF 133 II 249 consid. 1.4.2 p. 254). Aucun fait nouveau ni preuve nouvelle ne peut être présenté à moins de résulter de la décision de l'autorité précédente ( art. 99 al. 1 LTF ).</w:t>
      </w:r>
    </w:p>
    <w:p>
      <w:r>
        <w:rPr>
          <w:b/>
        </w:rPr>
        <w:t>E. 1.3.2</w:t>
      </w:r>
    </w:p>
    <w:p>
      <w:r>
        <w:t>A titre liminaire, la recourante expose un certain nombre de faits, alléguant en particulier que la pièce n° 10 produite par l'intimée ne lui serait jamais parvenue. Croyant pouvoir s'affranchir de la règle selon laquelle le Tribunal fédéral statue sur la base des faits établis par l'autorité précédente, elle se prévaut, à ce propos, d'un passage de l'arrêt publié aux ATF 101 Ia 521 où il est écrit que, si l'exécution d'une sentence arbitrale étrangère se fonde sur une convention internationale, le Tribunal fédéral revoit librement les faits, les parties pouvant même lui en présenter de nouveaux (consid. 1b). Il lui a cependant échappé que, par la suite, le Tribunal fédéral, modifiant sa jurisprudence en la matière, a, d'une part, limité son examen à l'arbitraire dans la constatation des faits pour les recours dirigés contre une décision d'une autorité judiciaire ( ATF 129 I 110 consid. 1.3) et, d'autre part, étendu l'interdiction d'alléguer des faits nouveaux aux recours fondés sur la violation d'un traité international ( ATF 128 I 354 consid. 6c). Dans ces conditions, il n'est pas possible de prendre en considération les faits nouveaux allégués par la recourante, non plus que les critiques appellatoires que celle-ci formule à l'encontre de l'état de fait de l'arrêt cantonal (cf. recours, p. 4 à 6 et 8 à 10). Ne sont pas davantage recevables les considérations émises par la recourante, sous l'angle du "droit à la preuve", en ce qui concerne l'affidavit du 26 janvier 2010 (cf. recours, p 10 s.). On y trouve, présentés pêle-mêle, des griefs tirés de la mauvaise application du droit privé fédéral, tel l' art. 8 CC , et de diverses dispositions du droit de procédure civile genevois, le tout présenté derechef comme si la recourante s'adressait à une cour d'appel.</w:t>
      </w:r>
    </w:p>
    <w:p>
      <w:r>
        <w:rPr>
          <w:b/>
        </w:rPr>
        <w:t>E. 2</w:t>
      </w:r>
    </w:p>
    <w:p>
      <w:r>
        <w:t>Sous le titre "Griefs de rang constitutionnel", la recourante reproche ensuite à la cour cantonale d'avoir violé les art. 9 et 29 al. 2 Cst. (recours, p. 12 à 14). A l'appui de son grief d'arbitraire, l'intéressée se lance à nouveau dans des explications de type appellatoire, fondées sur des allégations en partie nouvelles, en vue de dissiper, selon elle, le malentendu relatif à la désignation d'un seul arbitre au lieu de trois, qui a pu amener la cour cantonale à imaginer qu'elle était de mauvaise foi, et pour expliquer les circonstances dans lesquelles le dénommé B.________ lui a adressé le courriel du 2 décembre 2009 (pce n° 6). De telles explications, en grande partie irrecevables, sont tout à fait impropres à étayer semblable grief. Quant à la violation de son droit d'être entendue, la recourante la déduit du fait que la cour cantonale a refusé d'admettre la recevabilité de l'affidavit du 26 janvier 2010. Le moyen tombe à faux: d'une part, pareil refus reposait sur l'application d'une disposition du droit de procédure civile genevois - l' art. 306A al. 1 LPC /GE - dont la recourante n'a pas établi le caractère prétendument arbitraire; d'autre part, les juges cantonaux ont considéré, sans que l'on puisse leur en faire grief au titre de l' art. 9 Cst. , que, même s'il avait été jugé recevable, cet affidavit n'aurait pas la portée que lui prête la recourante, eu égard au contenu de la pièce n° 10 produite par l'intimée.</w:t>
      </w:r>
    </w:p>
    <w:p>
      <w:r>
        <w:rPr>
          <w:b/>
        </w:rPr>
        <w:t>E. 3.1</w:t>
      </w:r>
    </w:p>
    <w:p>
      <w:r>
        <w:t>S'agissant de l'application du droit fédéral, la recourante reproche à la Cour de justice d'avoir violé les " art. 194, 190 al. 2 let , b, 6 ch. 1 CEDH, 25 et 27 LDIP et V ch. 1 Convention de New-York du 10 juin 1958" (sic; recours, p. 15 à 20). La décision attaquée n'est pas la sentence arbitrale étrangère dont l'exécution a été ordonnée. Par conséquent, la recourante invoque en vain l' art. 190 al. 2 let. b LDIP relatif au recours en matière civile contre les décisions de tribunaux arbitraux au sens de l' art. 77 al. 1 LTF . La référence à cette disposition est d'autant moins pertinente que celle-ci ne vise pas les griefs se rapportant à la composition du tribunal arbitral, lesquels relèvent de l' art. 190 al. 2 let. a LDIP , mais ceux qui ont trait à la compétence du tribunal arbitral. De même, pour les motifs sus-indiqués (cf. consid. 1.2, 2e par.), il n'y a pas matière à appliquer les art. 25 ss LDIP en l'espèce. Quant à l' art. 6 par. 1 CEDH , il n'est pas non plus directement applicable en tant que tel pour fixer les conditions de la reconnaissance et de l'exécution des sentences arbitrales étrangères. En définitive, conformément à l' art. 194 LDIP , c'est à la lumière des dispositions pertinentes de la convention de New York du 10 juin 1958 pour la reconnaissance et l'exécution des sentences arbitrales étrangères (RS 0.277.12; ci-après: la Convention de New York) qu'il y a lieu d'examiner, en fonction des griefs formulés par la recourante, si la cour cantonale a violé le droit fédéral en octroyant l'exequatur à la sentence litigieuse, de même qu'à la décision judiciaire entérinant celle-ci, et en prononçant, sur cette base, la mainlevée définitive de l'opposition au commandement de payer formée par la débitrice.</w:t>
      </w:r>
    </w:p>
    <w:p>
      <w:r>
        <w:rPr>
          <w:b/>
        </w:rPr>
        <w:t>E. 3.2.1</w:t>
      </w:r>
    </w:p>
    <w:p>
      <w:r>
        <w:t>L'art. V de la Convention de New York énonce de manière exhaustive les motifs de refus de reconnaissance et d'exécution d'une sentence arbitrale étrangère ( ATF 135 III 136 consid. 2.1 p. 139). Ces motifs doivent être interprétés restrictivement pour favoriser l'exequatur de la sentence arbitrale ( ATF 135 III 136 consid. 3.3). Il appartient à la partie qui s'oppose à l'exequatur d'établir que l'un des motifs de refus de l'art. V ch. 1 de la Convention de New York existe ( ATF 135 III 136 consid. 2.1 p. 139), alors que le juge pourra retenir d'office les deux motifs de refus de l'exequatur indiqués à l'art. V ch. 2 de ladite convention (Kaufmann-Kohler/Rigozzi, Arbitrage international, Droit et pratique à la lumière de la LDIP, 2e éd. 2010, n° 897). En vertu de l'art. V ch. 1 let. d de la Convention de New York, invoqué par la recourante, le défendeur peut s'opposer à l'exequatur de la sentence en établissant, notamment, que la constitution du tribunal arbitral n'a pas été conforme à la convention des parties. Encore faut-il que le vice dans la composition du tribunal arbitral ait joué un rôle causal dans l'issue du litige (Kaufmann-Kohler/Rigozzi, op. cit., n° 893 in fine). Aux termes de l'art. V ch. 2 let. b de la Convention de New York, dont la recourante se prévaut également, la reconnaissance et l'exécution d'une sentence arbitrale pourront aussi être refusées si l'autorité compétente du pays où la reconnaissance et l'exécution sont requises constate que la reconnaissance ou l'exécution de la sentence serait contraire à l'ordre public de ce pays.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Il y a violation de l'ordre public lorsque la reconnaissance ou l'exécution d'une sentence étrangère heurte de manière intolérable les conceptions suisses de la justice. Une sentence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(arrêt 4P.173/2003 du 8 décembre 2003 consid. 4.1 et les précédents cités). L'indépendance et l'impartialité de l'arbitre comptent assurément au nombre de ces règles-là ( ATF 93 I 265 consid. 4a; Kaufmann-Kohler/Rigozzi, op. cit., n° 360 in fine).</w:t>
      </w:r>
    </w:p>
    <w:p>
      <w:r>
        <w:rPr>
          <w:b/>
        </w:rPr>
        <w:t>E. 3.2.2</w:t>
      </w:r>
    </w:p>
    <w:p>
      <w:r>
        <w:t>Un arbitre doit, à l'instar d'un juge étatique, présenter des garanties suffisantes d'indépendance et d'impartialité ( ATF 125 I 389 consid. 4a; 119 II 271 consid. 3b et les arrêts cités). Pour dire s'il présente de telles garanties, il faut se référer aux principes constitutionnels développés au sujet des tribunaux étatiques ( ATF 125 I 389 consid. 4a; 118 II 359 consid. 3c p. 361). Il convient, toutefois, de tenir compte des spécificités de l'arbitrage, et singulièrement de l'arbitrage international, lors de l'examen des circonstances du cas concret ( ATF 129 III 445 consid. 3.3.3 p. 454). 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128 V 82 consid. 2a p. 84 et les arrêts cités). La partie qui entend récuser un arbitre doit invoquer le motif de récusation aussitôt qu'elle en a connaissance. Cette règle jurisprudentielle vise aussi bien les motifs de récusation que la partie intéressée connaissait effectivement que ceux qu'elle aurait pu connaître en faisant preuve de l'attention voulue, étant précisé que choisir de rester dans l'ignorance peut être regardé, suivant les cas, comme une manoeuvre abusive comparable au fait de différer l'annonce d'une demande de récusation.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celle-ci ne saurait le garder en réserve pour ne l'invoquer qu'en cas d'issue défavorable de la procédure arbitrale (arrêt 4A_234/2008 du 14 août 2008 consid. 2.2 et les arrêts cités).</w:t>
      </w:r>
    </w:p>
    <w:p>
      <w:r>
        <w:rPr>
          <w:b/>
        </w:rPr>
        <w:t>E. 3.3</w:t>
      </w:r>
    </w:p>
    <w:p>
      <w:r>
        <w:t>La recourante invoque un motif de refus de l'exequatur tiré à la fois de l'art. V ch. 1 let. d et de l'art. V ch. 2 let. b de la Convention de New York. Elle le fonde toutefois, dans l'un et l'autre cas, sur les mêmes circonstances. Par conséquent, l'examen de ses arguments se fera simultanément sous l'angle de ces deux dispositions. Il s'agira de rechercher si, comme le soutient la recourante, la sentence pour laquelle l'exequatur a été accordé à l'intimée a été rendue par un arbitre n'offrant pas des garanties suffisantes d'impartialité et d'indépendance au regard des exigences posées par la jurisprudence susmentionnée. Si tel devait être le cas, il y aura lieu de conclure à la violation des deux dispositions précitées (constitution irrégulière du tribunal arbitral et incompatibilité de la sentence avec l'ordre public du pays requis de l'exécuter). Il est frappant de constater, comme l'intimée le souligne avec raison, que la recourante a développé une argumentation sensiblement différente devant les trois instances qui ont été appelées à connaître de la présente affaire. Sans doute était-ce là son droit. Il n'en demeure pas moins que pareille variation dans la démonstration du bien-fondé de sa propre thèse constitue un sérieux indice de la fragilité de la position adoptée par celle qui la défend. Quoi qu'il en soit, cette thèse ne repose que sur des allégations qui s'écartent des seules constatations auxquelles le Tribunal fédéral doit se tenir, à savoir celles qui ont été faites par l'autorité précédente. De ces constatations, il appert uniquement, d'une part, que C.________, conseil de l'intimée, et l'arbitre ont exercé par devant la même juridiction d'appel américaine, sans autres précisions quant à la période durant laquelle ils l'ont fait et à la nature du travail exécuté par chacun d'eux auprès de cette juridiction, et, d'autre part, que ces deux personnes se sont rencontrées à une occasion, lorsque C.________ et la fille de l'arbitre, alors stagiaire, pratiquaient au sein de la même étude, circonstance portée à la connaissance de l'avocat de la recourante, lors de l'audience préliminaire d'arbitrage du 24 octobre 2006, lequel avait alors indiqué qu'il n'avait aucune objection à la poursuite de la procédure arbitrale. Il est donc exclu de tenir compte des affirmations de la recourante selon lesquelles le conseil de l'intimée et la fille de l'arbitre avaient travaillé "des années durant" dans la même étude, ni de celles voulant que l'avocat de la recourante, D.________, n'ait jamais pris connaissance du compte rendu de l'audience du 24 octobre 2006. Ainsi, la recourante cherche à paralyser l'exécution d'une sentence arbitrale étrangère et de la décision judiciaire qui entérine cette sentence en faisant valoir un motif - la rencontre entre l'arbitre et le conseil de l'intimée à une époque où celui-ci travaillait dans la même étude que la fille de celui-là - que son propre avocat n'a pas considéré, alors, comme étant susceptible de mettre en cause l'impartialité de l'arbitre unique et en avançant un autre motif - le fait que l'arbitre et le conseil de l'intimée avaient exercé devant la même juridiction américaine - qui, objectivement, n'était de toute évidence pas de nature à disqualifier l'arbitre. Il n'y a pas là de quoi justifier le refus d'accorder l'exequatur à la sentence et à la décision en question. Pour le surplus, c'est en vain que la recourante reproche à C.________ d'avoir lui-même violé les règles relatives à la procédure arbitrale. On ne voit pas, à cet égard, en quoi l'art. 8 du Code de conduite pour les procédures arbitrales se déroulant en Suisse, invoqué par elle, serait applicable en l'espèce, s'agissant d'une procédure arbitrale conduite aux Etats-Unis d'Amérique. On voit encore moins comment la recourante peut tirer argument d'une disposition figurant dans le code professionnel de conduite applicable aux conseils se présentant devant le Tribunal international chargé de poursuivre les personnes présumées responsables de violations graves du droit international humanitaire commises sur le territoire de l'ex-Yougoslavie. Cela étant, le recours en matière civile ne peut qu'être rejeté dans la faible mesure où il est recevable.</w:t>
      </w:r>
    </w:p>
    <w:p>
      <w:r>
        <w:rPr>
          <w:b/>
        </w:rPr>
        <w:t>E. 4</w:t>
      </w:r>
    </w:p>
    <w:p>
      <w:r>
        <w:t>Succombant, la recourante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