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233/2009 vom 6. Juli 2009</w:t>
      </w:r>
    </w:p>
    <w:p>
      <w:r>
        <w:t>Bundesgericht, 2009-07-06, FR</w:t>
      </w:r>
    </w:p>
    <w:p>
      <w:r>
        <w:rPr>
          <w:b/>
        </w:rPr>
        <w:t xml:space="preserve">Quelle: </w:t>
      </w:r>
      <w:r>
        <w:t>https://mcp.opencaselaw.ch/entscheid/bger_4A_233_2009</w:t>
      </w:r>
    </w:p>
    <w:p>
      <w:r>
        <w:t>FR: TF 4A 233/2009 du 6 juillet 2009</w:t>
      </w:r>
    </w:p>
    <w:p>
      <w:r>
        <w:t>IT: TF 4A 233/2009 del 6 luglio 2009</w:t>
      </w:r>
    </w:p>
    <w:p>
      <w:pPr>
        <w:pStyle w:val="Heading2"/>
      </w:pPr>
      <w:r>
        <w:t>Regeste</w:t>
      </w:r>
    </w:p>
    <w:p>
      <w:r>
        <w:t>contrat de travail; prohibition de concurrence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les parties se sont liées par un contrat de travail, pour le compte d'une entreprise tierce, locataire de services, et que ce contrat comportait une clause restreignant le droit du demandeur de conclure, pendant sa durée, un contrat semblable avec une entreprise concurrente de la défenderesse. Il est également constant que le contrat des parties, résilié par la défenderesse, a pris fin le 31 décembre 2007. Le demandeur prétend n'avoir conclu un nouveau contrat, avec Z.________ SA, qu'après cette date seulement, et que par conséquent, il n'est pas débiteur de l'« indemnité forfaitaire » prévue par ladite clause. Selon son argumentation, l'art. 19 al. 1 de la loi fédérale sur le service de l'emploi et la location de services (LSE; RS 823.11) était applicable et cette disposition exigeait que le contrat de travail avec Z.________ SA fût conclu par écrit; de plus, lui-même et cette société ont convenu, ainsi que le permettait l' art. 16 al. 1 CO , de donner la forme écrite audit contrat. Cette forme n'a pas été observée avant qu'il eût lui-même signé ce contrat et remis l'exemplaire signé à la nouvelle employeuse; or, il n'a accompli ces actes qu'en janvier 2008, soit après la fin de son contrat avec la défenderesse. L' art. 19 al. 3 LSE règle les conséquences, dans le contexte spécifique de la location de services, d'un éventuel vice de forme du contrat de travail. De cette disposition et de l' art. 11 al. 2 CO , il ressort qu'un contrat tacite ou oral est néanmoins valable; seul son contenu est éventuellement modifié en faveur du travailleur. Quant à la portée de la forme écrite convenue selon l' art. 16 al. 1 CO , on observe qu'immédiatement après le 31 décembre 2007, le demandeur n'a pas cessé de travailler au motif que le contrat n'était pas dûment signé; au contraire, il a fourni sans interruption l'activité attendue par Z.________ SA et par la banque O.________ SA. Selon les constatations de la Cour d'appel, cette dernière savait déjà, à fin novembre 2007 et par le demandeur, que celui-ci se ferait engager par une société de services autre que la défenderesse pour continuer son activité commencée en juillet de la même année. Les pourparlers entre le demandeur et Z.________ SA ont abouti, au plus tard, le 15 décembre 2007; ensuite, seule la signature du contrat écrit, de la main du demandeur, est restée en suspens. Au regard de ces éléments, il est indéniable que l'activité fournie par le demandeur après le 31 décembre 2007, sans interruption, reposait sur un accord antérieur à cette date, et que cet accord n'était rien d'autre qu'un contrat de travail aux termes de l' art. 319 al. 1 CO . Le demandeur argue vainement de la date postérieure à laquelle il a enfin signé le contrat écrit, avant de le restituer.</w:t>
      </w:r>
    </w:p>
    <w:p>
      <w:r>
        <w:rPr>
          <w:b/>
        </w:rPr>
        <w:t>E. 3</w:t>
      </w:r>
    </w:p>
    <w:p>
      <w:r>
        <w:t>L'interdiction contractuelle de se faire engager par une société de services concurrente, souscrite par le demandeur en juin 2007, est une restriction de la liberté économique de ce travailleur, de sorte qu'elle est soumise aux dispositions légales applicables aux clauses de prohibition de faire concurrence à l'employeur ( ATF 130 III 353 consid. 2.1.1 p. 355). Le demandeur se prétend libéré par l'effet de l' art. 340c al. 2 CO , selon lequel la prohibition de concurrence cesse si l'employeur résilie le contrat sans que le travailleur ne lui ait donné un motif justifié; il affirme n'avoir aucunement provoqué la résiliation que la défenderesse lui a signifiée le 26 novembre 2007. Selon la Cour d'appel, les parties ont d'emblée convenu, en juin 2007, que l'engagement du demandeur par l'intermédiaire de la défenderesse durerait six mois, et que le demandeur pourrait ensuite se faire engager directement par la banque cliente. La lettre de résiliation faisait d'ailleurs référence à ce projet d'engagement direct par la banque. Le demandeur souligne qu'au cours du mois de janvier 2008, il espérait encore obtenir cet engagement direct. La résiliation du 26 novembre 2007 s'inscrivait donc exactement dans ce qui était convenu dès le début entre les parties. Au regard de cette situation particulière, bien que la défenderesse ait résilié le contrat, le demandeur ne peut pas invoquer utilement l' art. 340c al. 2 CO . Le demandeur invoque l' art. 9 Cst. et se plaint, en rapport avec la résiliation du contrat, d'une constatation arbitraire de divers faits, mais il ne met pas en doute que les parties aient d'emblée convenu d'un engagement initial limité à six mois. Il ne prétend pas non plus que la défenderesse, ayant appris que l'engagement direct souhaité par le demandeur ne se réalisait pas, aurait refusé de le réengager elle-même. Sa critique de la constatation des faits n'a donc pas d'incidence sur l'issue de la cause.</w:t>
      </w:r>
    </w:p>
    <w:p>
      <w:r>
        <w:rPr>
          <w:b/>
        </w:rPr>
        <w:t>E. 4</w:t>
      </w:r>
    </w:p>
    <w:p>
      <w:r>
        <w:t>L' « indemnité forfaitaire » promise en cas de violation de l'interdiction contractuelle est une peine conventionnelle soumise à l' art. 163 al. 3 CO . Devant la Cour d'appel, sur la base de cette disposition, le demandeur a obtenu que l'indemnité soit réduite à deux mois de salaire seulement, au lieu de trois selon le contrat. En instance fédérale, il demande subsidiairement, s'il doit acquitter l'indemnité, que celle-ci soit réduite au montant symbolique d'un franc. Aux termes de l' art. 163 al. 3 CO , le juge doit réduire les peines conventionnelles qu'il estime excessives. Son intervention ne se justifie, toutefois, que si le montant fixé dépasse toute mesure raisonnable et compatible avec le droit et l'équité. Tel est le cas, notamment, lorsqu'il existe une disproportion évidente entre le montant convenu et l'intérêt du créancier à élever la totalité de sa prétention. Les circonstances de l'espèce sont déterminantes; il convient de tenir compte, en particulier, de la nature et de la durée du contrat, de la gravité de la faute, de la situation économique des parties et de leur expérience en affaires. Il n'incombe pas au créancier de prouver que la peine convenue est appropriée, mais au débiteur d'alléguer et d'établir des faits propres à justifier une réduction ( ATF 133 III 201 consid. 5.2 p. 209). Le demandeur fait état du désaccord qui existait entre les parties au sujet du décompte des jours de vacances et, sommairement, il revient sur les circonstances déjà prises en considération par la Cour d'appel. Celle-ci a comparé le montant de l'indemnité avec ce que la défenderesse aurait gagné si le demandeur s'était fait réengager par elle pour une durée supplémentaire de trois mois; après réduction, l'indemnité est inférieure à cette perte de gain. Il n'apparaît pas que la Cour ait mésusé de son pouvoir d'appréciation et rien n'impose une réduction plus importante de l'indemnité.</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