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4A_232/2024 vom 3. Oktober 2024</w:t>
      </w:r>
    </w:p>
    <w:p>
      <w:r>
        <w:t>Bundesgericht, 2024-10-03, FR</w:t>
      </w:r>
    </w:p>
    <w:p>
      <w:r>
        <w:rPr>
          <w:b/>
        </w:rPr>
        <w:t xml:space="preserve">Quelle: </w:t>
      </w:r>
      <w:r>
        <w:t>https://mcp.opencaselaw.ch/entscheid/bger_4A_232_2024</w:t>
      </w:r>
    </w:p>
    <w:p>
      <w:r>
        <w:t>FR: TF 4A_232/2024 du 3 octobre 2024</w:t>
      </w:r>
    </w:p>
    <w:p>
      <w:r>
        <w:t>IT: TF 4A_232/2024 del 3 ottobre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siège respectivement son domicile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leur motivation, des moyens invoqués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 d LDIP, dénonce une violation de son droit d'être entendu. Il reproche à l'arbitre d'avoir omis de prendre en considération plusieurs éléments de fait, de preuve et de droit qu'il avait invoqués au cours de la procédure d'arbitrage qui étaient de nature à influer sur le sort du litige.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t>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w:t>
      </w:r>
    </w:p>
    <w:p>
      <w:r>
        <w:t>En premier lieu, le recourant reproche à l'arbitre d'avoir ignoré son argument selon lequel les intimés avaient adopté un comportement contradictoire, puisqu'ils avaient fait valoir devant la CRL FIFA que la décision prise le 23 décembre 2020 par la CSJ FIF ne pouvait pas être revue par l'organe juridictionnel de la FIFA, avant de soutenir devant le TAS que la décision rendue le 9 novembre 2022 par la Commission d'appel de la FIF ne liait en aucune manière ce dernier.</w:t>
      </w:r>
    </w:p>
    <w:p>
      <w:r>
        <w:t>En deuxième lieu, l'intéressé fait grief à l'arbitre d'avoir omis de traiter l'argument selon lequel le TAS ne pouvait pas revoir la décision prise par la Commission d'appel de la FIF - laquelle était devenue définitive et exécutoire vu l'absence d'appel interjeté à l'encontre de celle-ci - ni réexaminer les moyens de preuve recueillis dans le cadre de cette procédure et, singulièrement, l'expertise graphologique ivoirienne.</w:t>
      </w:r>
    </w:p>
    <w:p>
      <w:r>
        <w:t>En troisième et dernier lieu, le recourant se plaint de ce que l'arbitre n'a pas tenu compte de l'argument selon lequel les intimés avaient fait preuve de mauvaise foi en s'opposant, par tous les moyens, à la mise en oeuvre de l'expertise graphologique ivoirienne.</w:t>
      </w:r>
    </w:p>
    <w:p>
      <w:r>
        <w:rPr>
          <w:b/>
        </w:rPr>
        <w:t>E. 5.3</w:t>
      </w:r>
    </w:p>
    <w:p>
      <w:r>
        <w:t>L'argumentation présentée par le recourant n'emporte pas la conviction de la Cour de céans.</w:t>
      </w:r>
    </w:p>
    <w:p>
      <w:r>
        <w:t>Dans la sentence attaquée, l'arbitre a correctement exposé l'argument central de l'intéressé selon lequel la décision de la Commission d'appel de la FIF était devenue définitive et exécutoire, raison pour laquelle le TAS ne pouvait pas revoir cette dernière ni l'expertise graphologique ivoirienne (sentence, n. 102, 9ème tiret: "... The AC FIF Decision [la décision de la Commission d'appel de la FIF] - which defeats all of Respondents' arguments - is now final and binding and the CAS cannot rule again on the matter, as the Player and the Mother should have appealed to local courts [which they did not]..."). Il a également fait état de la thèse prônée par les intimés, lesquels estimaient que l'arbitre pouvait apprécier librement la portée de la décision prise par la Commission d'appel de la FIF et de l'analyse graphologique ivoirienne, dans la mesure où l'art. R57 du Code de l'arbitrage en matière de sport (ci-après: le Code) confère au TAS un pouvoir d'examen illimité tant en fait qu'en droit (sentence, n. 106, 7ème tiret: "Notwithstanding the AC FIF Decision, and in accordance with Article 8 of the Swiss Civil Code, it is A.________'s burden to prove the existence of any alleged contract concluded with the Player. On the basis of Article R57 of the CAS Code and the</w:t>
      </w:r>
    </w:p>
    <w:p>
      <w:r>
        <w:t>de novo powers granted by such provision, the Sole Arbitrator has full and unrestricted discretion to make his own assessment of the AC FIF Decision and the Handwriting Analysis on which it relies. In any case, such decision cannot be relied upon to adjudicate the present dispute..."). Lors de l'examen des mérites de l'appel, l'arbitre a visiblement épousé la thèse défendue par les intimés. Il s'est en effet référé expressément à la disposition réglementaire invoquée par eux (art. R57 du Code) et a souligné qu'il jouissait d'un pouvoir d'examen illimité (sentence, n. 143), ce qui l'a conduit à réexaminer librement la valeur probante de l'analyse graphologique ivoirienne. Il appert ainsi de la motivation retenue par l'arbitre que celui-ci a considéré que l'art. R57 du Code l'autorisait à revoir librement les tenants et aboutissant de cette affaire, raison pour laquelle il a visiblement estimé ne pas être lié par la décision prise la Commission d'appel de la FIF. L'arbitre a donc écarté, à tout le moins de manière implicite, l'argument invoqué à cet égard par le recourant, étant précisé ici que ce dernier ne saurait obtenir des explications détaillées sur chaque aspect du raisonnement tenu par l'arbitre. Que la décision à laquelle a abouti l'arbitre sur le problème considéré soit juridiquement fondée ou non importe peu sous l'angle du moyen pris de la violation du droit d'être entendu. Aussi est-ce en vain que l'intéressé, sous le couvert d'une prétendue atteinte à son droit d'être entendu, discute de la portée exacte à donner à l'art. R57 du Code.</w:t>
      </w:r>
    </w:p>
    <w:p>
      <w:r>
        <w:t>Au vu de la solution retenue par l'arbitre, le point de savoir si les intimés ont effectivement adopté une attitude contradictoire en soutenant devant la CRL FIFA que celle-ci ne pouvait pas revoir la décision prise par la CSJ FIF n'a manifestement eu aucune influence sur le sort du litige, étant donné que l'arbitre a estimé, à tout le moins implicitement, ne pas être lié par les décisions des organes juridictionnels de la FIF. En tout état de cause, sur le vu des explications fournies par le recourant, on ne saurait reprocher aux intimés d'avoir adopté une attitude incompatible avec les règles de la bonne foi. D'une part, la situation a évolué sur le plan factuel entre le moment où la CSJ FIF a statué et celui où les intimés ont déposé leur réponse à l'appel introduit devant le TAS, puisque la Commission d'appel de la FIF a entre-temps annulé la décision attaquée devant elle. Aussi n'est-il guère surprenant que les intimés aient changé leur fusil d'épaule. D'autre part, affirmer qu'un organe juridictionnel d'une fédération internationale ne puisse pas revoir la décision prise par celui d'une autre association sportive ne signifie pas encore qu'il en irait forcément de même pour un véritable tribunal arbitral, tel le TAS. L'attitude procédurale des intimés n'apparaît ainsi pas incompatible avec les règles de la bonne foi.</w:t>
      </w:r>
    </w:p>
    <w:p>
      <w:r>
        <w:t>Pour le reste, le recourant fait grief à l'arbitre d'avoir fait fi de son argument selon lequel les intimés s'étaient opposés par tous les moyens à la mise en oeuvre de l'expertise graphologique ivoirienne, en refusant notamment de produire des documents originaux et contemporains contenant leur signature. Or, semblable reproche repose sur des prémisses de fait qui ne ressortent nullement des faits constatés dans la sentence attaquée. Quoi qu'il en soit, on relèvera que la violation du droit d'être entendu dénoncée par le recourant n'a manifestement pas eu les conséquences que celui-ci lui prête. Dans sa sentence, l'arbitre n'a pas nié l'existence d'un contrat de travail valablement conclu le 31 juillet 2019, en motivant exclusivement sa décision par l'absence de force probante de l'analyse graphologique ivoirienne. Il s'est au contraire fondé sur un faisceau d'éléments pour aboutir à la solution retenue par lui. Il a ainsi notamment relevé qu'aucun témoin cité par les parties n'avait pu confirmer avoir vu les intimés signer le contrat litigieux, constaté que le prêt conclu le même jour ainsi que la licence du joueur ne contenaient pas la signature de celui-ci ni celle de sa mère, et souligné que le passeport FIFA du footballeur daté du 9 juin 2020 n'indiquait pas que ce dernier était contractuellement lié au recourant. L'arbitre a également observé que le contrat prétendument conclu le 31 juillet 2019 prévoyait une rémunération mensuelle de 63'000 francs CFA, mais que le recourant n'avait fourni aucune preuve établissant le paiement effectif des salaires au footballeur. Il a également pointé du doigt divers éléments qui semblaient démontrer le caractère arbitraire de l'analyse graphologique ivoirienne. Enfin et surtout, l'arbitre a estimé qu'une simple observation des différentes signatures présentées par les parties permettait de conclure que la signature prétendument apposée par la mère du joueur sur le contrat litigieux n'était pas authentique. À cet égard, il a constaté que les trois signatures reconnues comme authentiques par la mère du footballeur se terminaient par un trait dirigé vers le bas, alors que le trait pointait vers le haut sur celle figurant au pied du contrat litigieux. En outre, l'arbitre unique a remarqué que les signatures apposées sur le contrat litigieux semblaient hésitantes et n'étaient pas fluides, contrairement aux signatures reconnues comme authentiques par la mère du footballeur. Au terme de son analyse reposant sur un ensemble d'éléments concordants, l'arbitre a ainsi conclu que le contrat litigieux n'était pas valide, faute d'avoir été signé par la représentante légale du footballeur, qui était encore mineur le 31 juillet 2019 (sentence, n. 143-150).</w:t>
      </w:r>
    </w:p>
    <w:p>
      <w:r>
        <w:t>Au vu de ce qui précède, le grief examiné ne peut qu'être rejeté dans la mesure où il est recevable.</w:t>
      </w:r>
    </w:p>
    <w:p>
      <w:r>
        <w:rPr>
          <w:b/>
        </w:rPr>
        <w:t>E. 6</w:t>
      </w:r>
    </w:p>
    <w:p>
      <w:r>
        <w:t>Dans un second moyen, le recourant, dénonçant une violation du principe de la bonne foi et de celui de la prohibition de l'abus de droit, soutient que la sentence querellée est incompatible avec l'ordre public (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6.1.2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6.2</w:t>
      </w:r>
    </w:p>
    <w:p>
      <w:r>
        <w:t>Premièrement, le recourant reproche aux intimés d'avoir adopté un comportement contradictoire, en faisant valoir, lors de la procédure arbitrale, des allégations incompatibles avec celles formulées devant la CRL FIFA quant à la possibilité de revoir la décision rendue par les organes juridictionnels de la FIF.</w:t>
      </w:r>
    </w:p>
    <w:p>
      <w:r>
        <w:t>Deuxièmement, l'intéressé fait grief aux intimés d'avoir fait preuve d'une attitude incompatible avec les règles de la bonne foi en s'opposant par tous les moyens à la mise en oeuvre de l'expertise graphologique ivoirienne.</w:t>
      </w:r>
    </w:p>
    <w:p>
      <w:r>
        <w:t>Troisièmement, le recourant soutient que l'arbitre aurait enfreint le principe de la bonne foi, en considérant que cette expertise graphologique était arbitraire, sous prétexte que celle-ci ne se fondait pas sur des documents contemporains contenant la signature de la mère du footballeur, alors que celle-ci avait refusé de prêter son concours à la réalisation de ladite expertise. Il reproche également à l'arbitre d'avoir lui-même jugé que la signature litigieuse n'était pas authentique sur la base d'une simple observation de celle-ci.</w:t>
      </w:r>
    </w:p>
    <w:p>
      <w:r>
        <w:rPr>
          <w:b/>
        </w:rPr>
        <w:t>E. 6.3</w:t>
      </w:r>
    </w:p>
    <w:p>
      <w:r>
        <w:t>Il sied d'emblée de souligner que la motivation du grief laisse fortement à désirer, de sorte que l'on peut sérieusement douter de sa recevabilité, vu l' art. 77 al. 3 LTF . Les quelques paragraphes que le recourant consacre à sa démonstration ne constituent en effet pas une motivation digne de ce nom visant à établir l'existence d'une prétendue contrariété à l'ordre public. Au demeurant, le recourant assoit en partie ses critiques sur des faits s'écartant de ceux constatés dans la sentence attaquée.</w:t>
      </w:r>
    </w:p>
    <w:p>
      <w:r>
        <w:t>Quoi qu'il en soit, le recourant, sous le couvert d'une prétendue contrariété à l'ordre public, se borne à faire valoir une nouvelle fois les critiques qu'il a déjà formulées sous l'angle du moyen pris de la violation de l' art. 190 al. 2 let . d LDIP. Son argumentation ne résiste toutefois pas à l'examen et on peut reprendre ici,</w:t>
      </w:r>
    </w:p>
    <w:p>
      <w:r>
        <w:t>mutatis mutandis , les considérations déjà émises précédemment. Pour le reste, l'intéressé s'en prend, en pure perte, à l'appréciation des preuves disponibles opérée par l'arbitre, ce qui n'est pas admissible.</w:t>
      </w:r>
    </w:p>
    <w:p>
      <w:r>
        <w:t>En tout état de cause, l'argumentation développée par le recourant ne permet nullement de démontrer que le résultat auquel a abouti l'arbitre, sur la base des faits constatés souverainement par lui, serait contraire à l'ordre public matériel, ce qui scelle le sort du moyen considéré. Celui-ci n'apparaît dès lors pas fondé, si tant est qu'il soit recevable.</w:t>
      </w:r>
    </w:p>
    <w:p>
      <w:r>
        <w:rPr>
          <w:b/>
        </w:rPr>
        <w:t>E. 7</w:t>
      </w:r>
    </w:p>
    <w:p>
      <w:r>
        <w:t>Au vu de ce qui précède, le recours doit être rejeté dans la mesure de sa recevabilité. Le recourant, qui succombe, supportera les frais de la présente procédure ( art. 66 al. 1 LTF ) et versera des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