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4A_231/2024 vom 16. Mai 2024</w:t>
      </w:r>
    </w:p>
    <w:p>
      <w:r>
        <w:t>Bundesgericht, 2024-05-16, DE</w:t>
      </w:r>
    </w:p>
    <w:p>
      <w:r>
        <w:rPr>
          <w:b/>
        </w:rPr>
        <w:t xml:space="preserve">Quelle: </w:t>
      </w:r>
      <w:r>
        <w:t>https://mcp.opencaselaw.ch/entscheid/bger_4A_231_2024</w:t>
      </w:r>
    </w:p>
    <w:p>
      <w:r>
        <w:t>FR: TF 4A_231/2024 du 16 mai 2024</w:t>
      </w:r>
    </w:p>
    <w:p>
      <w:r>
        <w:t>IT: TF 4A_231/2024 del 16 maggio 2024</w:t>
      </w:r>
    </w:p>
    <w:p>
      <w:pPr>
        <w:pStyle w:val="Heading2"/>
      </w:pPr>
      <w:r>
        <w:t>Erwägungen</w:t>
      </w:r>
    </w:p>
    <w:p>
      <w:r>
        <w:rPr>
          <w:b/>
        </w:rPr>
        <w:t>E. 1</w:t>
      </w:r>
    </w:p>
    <w:p>
      <w:r>
        <w:t>Mit Verfügung vom 2. April 2024 kam das Kantonsgericht Schwyz zum Schluss, dass das Revisionsgesuch des Beschwerdeführers offensichtlich unbegründet sei und trat darauf nicht ein.</w:t>
      </w:r>
    </w:p>
    <w:p>
      <w:r>
        <w:t>Gegen diese Verfügung erhebt der Beschwerdeführer mit Eingabe vom 19. April 2024 Beschwerde an das Bundesgericht. Auf das Einholen von Vernehmlassungen zur Beschwerde wurde verzichtet.</w:t>
      </w:r>
    </w:p>
    <w:p>
      <w:r>
        <w:t>Mit Verfügung vom 23. April 2024 wies das Bundesgericht seine Gesuche um aufschiebende Wirkung und um andere vorsorgliche Massnahmen ab, da die Beschwerde als aussichtslos erscheine.</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Fr. 19'296.10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zwar, dass sich vorliegend "mehrere Grundsatzfragen" stellten und schildert dazu seine rechtlichen Auffassungen.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rügt zwar die Verletzung einer Vielzahl von Verfassungsbestimmungen und der EMRK. Er legt vor Bundesgericht aber im Wesentlichen bloss in frei gehaltenen Ausführungen seine Sicht der Dinge zu den bereits geführten verschiedensten Verfahren dar, ohne indessen auf die Erwägungen der Vorinstanz hinreichend konkret einzugehen, geschweige denn nachvollziehbar aufzuzeigen, inwiefern diese die angerufenen verfassungsmässigen Rechte verletzt haben soll.</w:t>
      </w:r>
    </w:p>
    <w:p>
      <w:r>
        <w:t>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