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230/2015 vom 22. September 2015</w:t>
      </w:r>
    </w:p>
    <w:p>
      <w:r>
        <w:t>Bundesgericht, 2015-09-22, FR</w:t>
      </w:r>
    </w:p>
    <w:p>
      <w:r>
        <w:rPr>
          <w:b/>
        </w:rPr>
        <w:t xml:space="preserve">Quelle: </w:t>
      </w:r>
      <w:r>
        <w:t>https://mcp.opencaselaw.ch/entscheid/bger_4A_230_2015</w:t>
      </w:r>
    </w:p>
    <w:p>
      <w:r>
        <w:t>FR: TF 4A 230/2015 du 22 septembre 2015</w:t>
      </w:r>
    </w:p>
    <w:p>
      <w:r>
        <w:t>IT: TF 4A 230/2015 del 22 settembre 2015</w:t>
      </w:r>
    </w:p>
    <w:p>
      <w:pPr>
        <w:pStyle w:val="Heading2"/>
      </w:pPr>
      <w:r>
        <w:t>Regeste</w:t>
      </w:r>
    </w:p>
    <w:p>
      <w:r>
        <w:t>enrichissement illégitime | Droit des contrats</w:t>
      </w:r>
    </w:p>
    <w:p>
      <w:pPr>
        <w:pStyle w:val="Heading2"/>
      </w:pPr>
      <w:r>
        <w:t>Erwägungen</w:t>
      </w:r>
    </w:p>
    <w:p>
      <w:r>
        <w:rPr>
          <w:b/>
        </w:rPr>
        <w:t>E. 1.1</w:t>
      </w:r>
    </w:p>
    <w:p>
      <w:r>
        <w:t>Une restitution de délai au sens de l' art. 50 al. 1 LTF suppose que la partie ou son mandataire a été empêché d'agir dans le délai fixé sans avoir commis de faute. Si la partie a un mandataire, seul l'empêchement de celui-ci peut être pris en considération ( JEAN-MAURICE FRÉSARD, in Commentaire de la LTF, 2 e éd. 2013, n. 6 ad art. 50 p. 385). En l'espèce, l'intimé n'allègue pas que Me A.________ n'était plus son mandataire déjà lorsque le délai pour déposer des déterminations a été fixé, puis prolongé. Quel qu'il soit, un empêchement en la personne de l'intimé ne peut dès lors être pris en compte. En particulier, l'intimé ne saurait prétendre à se déterminer lui-même au motif que le mandataire en lequel il avait placé sa confiance a déposé la réponse hors délai. En conclusion, les écritures déposées par Me A.________ et par l'intimé ne seront pas prises en considération.</w:t>
      </w:r>
    </w:p>
    <w:p>
      <w:r>
        <w:rPr>
          <w:b/>
        </w:rPr>
        <w:t>E. 1.2</w:t>
      </w:r>
    </w:p>
    <w:p>
      <w:r>
        <w:t>Le recours est dirigé contre une décision finale ( art. 90 LTF ) rendue en matière civile ( art. 72 al. 1 LTF ) par un tribunal supérieur d'un canton, qui a statué sur recours ( art. 75 LTF ). La cause atteint la valeur litigieuse de 30'000 fr. ouvrant le recours en matière civile dans les affaires ne relevant ni du droit du travail ni du droit du bail à loyer ( art. 74 al. 1 let. b LTF ). Au surplus, le recours est exercé par la partie qui a succombé dans ses conclusions libératoires et qui a donc qualité pour recourir ( art. 76 al. 1 LTF ). Il a été déposé dans le délai prévu par la loi ( art. 46 al. 1 let. a et art. 100 al. 1 LTF ). Il se pose la question de la recevabilité des conclusions de la recourante. Selon l' art. 42 al. 1 LTF , tout mémoire doit indiquer les conclusions. S'il admet le recours, le Tribunal fédéral peut en principe statuer lui-même sur le fond ( art. 107 al. 2 LTF ). La partie recourante ne peut dès lors se borner à demander l'annulation de la décision attaquée, mais doit également, en principe, prendre des conclusions sur le fond du litige ( ATF 137 II 313 consid. 1.3 p. 317). Il est fait exception à cette règle lorsque le Tribunal fédéral, en cas d'admission du recours, ne serait de toute manière pas en situation de statuer lui-même sur le fond et ne pourrait que renvoyer la cause à l'autorité cantonale ( ATF 136 V 131 consid. 1.2 p. 135; 134 III 379 consid. 1.3 p. 383; 133 III 489 consid. 3.1 p. 489 s. et les arrêts cités), ce qu'il appartient au recourant de démontrer lorsque cela ne ressort pas sans autre de la décision attaquée ( ATF 133 III 489 consid. 3.2 p. 490). En l'espèce, la recourante prend des conclusions cassatoires et en renvoi, mais n'explique pas pourquoi le Tribunal fédéral, en cas d'admission du recours, ne serait pas en mesure de statuer sur le fond en rejetant la demande de l'intimé. Or un tel empêchement n'apparaît pas d'emblée à la lecture du jugement attaqué. Le recours se révèle dès lors irrecevable.</w:t>
      </w:r>
    </w:p>
    <w:p>
      <w:r>
        <w:rPr>
          <w:b/>
        </w:rPr>
        <w:t>E. 2</w:t>
      </w:r>
    </w:p>
    <w:p>
      <w:r>
        <w:t>Au demeurant, les griefs de la recourante, pour autant qu'ils soient compréhensibles, apparaissent soit irrecevables, soit mal fondés.</w:t>
      </w:r>
    </w:p>
    <w:p>
      <w:r>
        <w:rPr>
          <w:b/>
        </w:rPr>
        <w:t>E. 2.1</w:t>
      </w:r>
    </w:p>
    <w:p>
      <w:r>
        <w:t>Invoquant une constatation arbitraire des faits, la recourante reproche à la cour cantonale de n'avoir pas pris en compte dans ses calculs un montant de 31'452 fr.10 versé à l'intimé par la Banque B.________. En réalité, cette critique concerne le décompte figurant dans le jugement du 12 janvier 2012, revêtu de l'autorité de force jugée, au terme duquel le solde dû par la recourante à l'intimé s'élève à 16'000 fr. Elle n'a pas sa place dans un recours contre le jugement du 26 mars 2015, lequel a été rendu dans la procédure en restitution du montant versé en exécution d'une décision judiciaire annulée par la suite et remplacée en définitive par le jugement du 12 janvier 2012.</w:t>
      </w:r>
    </w:p>
    <w:p>
      <w:r>
        <w:rPr>
          <w:b/>
        </w:rPr>
        <w:t>E. 2.2</w:t>
      </w:r>
    </w:p>
    <w:p>
      <w:r>
        <w:t>Par ailleurs, les juges précédents ont écarté à bon droit l'exception de chose jugée soulevée par la recourante. Dans son jugement du 12 janvier 2012, l'autorité cantonale s'est prononcée sur les créances réciproques des parties et a établi un décompte laissant apparaître un solde de 16'000 fr. en faveur de l'intimé; à cette occasion, les juges valaisans ont pris soin de préciser, afin d'éviter tout litige ultérieur, que le décompte ne prenait pas en considération le versement effectué par l'intimé en exécution du jugement du 27 novembre 2007. Quoi qu'en dise la recourante, la prétention en restitution de ce montant versé indument n'est pas identique à celles qui ont fait l'objet du jugement du 12 janvier 2012, passé en force, de sorte qu'il n'y a pas autorité de la chose jugée.</w:t>
      </w:r>
    </w:p>
    <w:p>
      <w:r>
        <w:rPr>
          <w:b/>
        </w:rPr>
        <w:t>E. 2.3</w:t>
      </w:r>
    </w:p>
    <w:p>
      <w:r>
        <w:t>Enfin, s'agissant du délai de prescription d'un an prévu à l' art. 67 al. 1 CO , la recourante se méprend lorsqu'elle prétend qu'il a commencé de courir le 22 mai 2008, date de l'arrêt de la cour de céans annulant le jugement du 27 novembre 2007. En effet, à cette occasion, l'affaire a été renvoyée à la cour cantonale pour nouvelle décision. L'intimé n'a donc pu acquérir le degré de certitude exigé par la jurisprudence (cf. ATF 129 III 503 consid. 3.4 p. 505) quant à l'existence et l'ampleur de son droit à répétition qu'une fois les prétentions réciproques des parties définitivement tranchées, soit lors de l'entrée en force du jugement du 12 janvier 2012. Comme la cour cantonale l'a admis à juste titre dans une argumentation subsidiaire, la prétention en enrichissement illégitime de l'intimé n'est pas prescrite, le délai relatif d'un an ayant été interrompu par la poursuite introduite en octobre 2012 et par la requête de conciliation de janvier 2013.</w:t>
      </w:r>
    </w:p>
    <w:p>
      <w:r>
        <w:rPr>
          <w:b/>
        </w:rPr>
        <w:t>E. 3</w:t>
      </w:r>
    </w:p>
    <w:p>
      <w:r>
        <w:t>Vu le sort réservé au recours, les frais judiciaires seront mis à la charge de la recourante ( art. 66 al. 1 LTF ). Celle-ci n'aura en revanche pas à verser des dépens à l'intimé (cf. consid. 1.1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