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4A_230/2013 vom 17. September 2013</w:t>
      </w:r>
    </w:p>
    <w:p>
      <w:r>
        <w:t>Bundesgericht, 2013-09-17, FR</w:t>
      </w:r>
    </w:p>
    <w:p>
      <w:r>
        <w:rPr>
          <w:b/>
        </w:rPr>
        <w:t xml:space="preserve">Quelle: </w:t>
      </w:r>
      <w:r>
        <w:t>https://mcp.opencaselaw.ch/entscheid/bger_4A_230_2013</w:t>
      </w:r>
    </w:p>
    <w:p>
      <w:r>
        <w:t>FR: TF 4A_230/2013 du 17 septembre 2013</w:t>
      </w:r>
    </w:p>
    <w:p>
      <w:r>
        <w:t>IT: TF 4A_230/2013 del 17 settembre 2013</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Les défendeurs ne persistent pas dans leurs prétentions reconventionnelles, de sorte que la contestation soumise au Tribunal fédéral porte exclusivement sur la rémunération et le défraiement encore réclamés par la demanderesse.</w:t>
      </w:r>
    </w:p>
    <w:p>
      <w:r>
        <w:t>En consultant cette partie-là, les défendeurs ont conclu avec elle un contrat d'architecte dit global, mixte, où certaines des prestations de l'architecte relèvent du contrat de mandat et d'autres du contrat d'entreprise ( ATF 134 III 361 consid. 5.1 p. 363; 127 III 543 consid. 2a p. 545; 114 II 53 consid. 2b p. 55/56). Les parties n'ont pas explicitement convenu d'une rémunération. En pareil cas, ces prestations-là autorisent l'architecte à réclamer la rémunération usuelle selon l' art. 394 al. 3 CO , celles-ci, le prix à déterminer d'après la valeur du travail fourni et les dépenses encourues, selon l' art. 374 CO ; il se justifie cependant d'appliquer l' art. 394 al. 3 CO à l'ensemble des prestations car une distinction entre les deux catégories n'engendrerait pratiquement aucune différence dans le résultat (Anton Egli et Hubert Stöckli, Das Planerhonorar, in Die Planerverträge, 2013, nos 7.37 p. 322 et 7.44 p. 326). Si nécessaire, le juge arrête donc une rémunération objectivement proportionnée aux services rendus, en tenant compte notamment du genre et de la durée de la mission accomplie, de son importance et de ses difficultés, et de la responsabilité assumée par l'architecte. Les règlements et tarifs SIA ne sont déterminants que dans la mesure où les parties ont expressément ou tacitement convenu de s'y référer; à défaut, ils n'ont pas valeur d'usage au regard de l' art. 394 al. 3 CO (arrêts 4A_86/2011 du 28 avril 2011, consid. 6, RtiD 2011 II 739; 4C.158/2001 du 15 octobre 2001, consid. 1, SJ 2002 I 204).</w:t>
      </w:r>
    </w:p>
    <w:p>
      <w:r>
        <w:t>En vertu de l' art. 8 CC , il incombe à l'architecte d'alléguer et de prouver, dans le procès, les faits pertinents pour l'évaluation (Egli/Stöckli, op. cit., n° 7.41 p. 325). Par conséquent, le juge doit éventuellement refuser toute rémunération si aucune preuve concluante ne lui est présentée (cf. ATF 126 III 189 consid. 2b p. 191/192; voir aussi ATF 132 III 689 consid. 4.5 p. 701/702; 129 III 18 consid. 2.6 p. 24).</w:t>
      </w:r>
    </w:p>
    <w:p>
      <w:r>
        <w:rPr>
          <w:b/>
        </w:rPr>
        <w:t>E. 3</w:t>
      </w:r>
    </w:p>
    <w:p>
      <w:r>
        <w:t>Dans la présente contestation, semble-t-il de sa propre initiative, l'expert désigné par le Tribunal civil s'est référé au règlement SIA n° 102 dans sa version de 2003. La Cour d'appel expose que ce praticien a examiné la documentation à lui remise par la demanderesse et qu'il a contrôlé, au regard du règlement, un calcul d'honoraires que celle-ci a établi d'après le coût présumable total de la construction en projet, d'une part, et le pourcentage effectivement accompli des prestations d'architecte nécessaires à une réalisation totale, d'autre part. L'expert a discuté quelques aspects du calcul mais il en a approuvé le résultat; cela conduit la Cour à rejeter l'appel, en substance, et à confirmer le jugement.</w:t>
      </w:r>
    </w:p>
    <w:p>
      <w:r>
        <w:t>La Cour considère l'application du règlement n° 102 de 2003 comme « adéquate » dans le cadre de l' art. 394 al. 3 CO . Elle ne s'explique pas davantage à ce sujet. Or, les méthodes développées dans cette version du règlement, relatives aux honoraires d'après le coût de l'ouvrage ou d'après le temps consacré à la mission, nécessitent des données tarifaires qui n'y sont pas présentes; il résulte de cela qu'à lui seul, le règlement ne permet pas une évaluation concrète de la rémunération due à l'architecte (Egli/Stöckli, op. cit., nos 7.39 et 7.40 p. 324; voir aussi Markus Schaefle, in Handbuch zum Bauwesen, 2012, n° 257 p. 93, indiquant que le règlement « ménage la compétitivité de chaque concurrent »). Au surplus, à supposer que le règlement puisse constituer une référence pertinente alors même que les parties ne l'ont pas intégré à leur contrat, un choix doit également être opéré entre ces deux méthodes; celle d'après le coût ne saurait être préférée au seul motif que l'architecte n'a pas produit en temps utile les éléments nécessaires à un calcul d'après le temps. En l'espèce, la Cour n'indique pas pourquoi cette méthode-là, apparemment adoptée par la demanderesse pour ses propres calculs, doit être jugée préférable à l'autre.</w:t>
      </w:r>
    </w:p>
    <w:p>
      <w:r>
        <w:t>Enfin, la décision attaquée ne permet pas d'appréhender comment cette partie et, à sa suite, l'expert ont appliqué la méthode d'après le coût tracée par le règlement n° 102. Le lecteur apprend seulement que la demanderesse a appliqué un « rabais de 30% »; aucun autre chiffre ne lui est rapporté. L'ampleur et la valeur des prestations fournies ne sont en aucune manière discutées et le lecteur ne peut donc pas comprendre pourquoi la demanderesse est censément fondée à réclamer, en sus de ce qu'elle a déjà reçu, une rémunération au montant de 83'220 francs. Il y a lieu de rappeler qu'une expertise doit être limitée à l'examen de points de fait et que la solution des questions de droit ressortit exclusivement au juge ( ATF 130 I 337 consid. 5.4.1 p. 345; 113 II 429 consid. 3a p. 432 in initio); or, l'appréciation nécessaire à l'application de l' art. 394 al. 3 CO relève du droit et ne peut pas être entièrement déléguée à l'expert. En l'état, faute d'une motivation concluante et suffisamment développée, le Tribunal fédéral n'est pas en mesure de contrôler l'application de cette disposition par les précédents juges. Il y a donc lieu d'annuler la décision attaquée et de renvoyer la cause à la Cour d'appel en exécution de l' art. 112 al. 3 LTF .</w:t>
      </w:r>
    </w:p>
    <w:p>
      <w:r>
        <w:rPr>
          <w:b/>
        </w:rPr>
        <w:t>E. 4</w:t>
      </w:r>
    </w:p>
    <w:p>
      <w:r>
        <w:t>Compte tenu qu'aucune des parties n'obtient gain de cause, l'émolument judiciaire doit être réparti par moitié entre les défendeurs d'une part et la demanderesse d'autre part, et les dépens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