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4A_22/2023 vom 16. Mai 2023</w:t>
      </w:r>
    </w:p>
    <w:p>
      <w:r>
        <w:t>Bundesgericht, 2023-05-16, FR</w:t>
      </w:r>
    </w:p>
    <w:p>
      <w:r>
        <w:rPr>
          <w:b/>
        </w:rPr>
        <w:t xml:space="preserve">Quelle: </w:t>
      </w:r>
      <w:r>
        <w:t>https://mcp.opencaselaw.ch/entscheid/bger_4A_22_2023</w:t>
      </w:r>
    </w:p>
    <w:p>
      <w:r>
        <w:t>FR: TF 4A_22/2023 du 16 mai 2023</w:t>
      </w:r>
    </w:p>
    <w:p>
      <w:r>
        <w:t>IT: TF 4A_22/2023 del 16 maggio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ou son siège en Suisse au moment déterminant. Les dispositions du chapitre 12 de la LDIP sont donc applicables ( art. 176 al. 1 LDIP ).</w:t>
      </w:r>
    </w:p>
    <w:p>
      <w:r>
        <w:rPr>
          <w:b/>
        </w:rPr>
        <w:t>E. 3</w:t>
      </w:r>
    </w:p>
    <w:p>
      <w:r>
        <w:t>Dans son mémoire, le recourant s'emploie à démontrer que la valeur litigieuse fixée par l' art. 74 al. 1 let. b LTF est atteinte. Cet exposé est toutefois superflu. Il a en effet échappé à l'intéressé que l' art. 77 al. 1 LTF , dans sa nouvelle teneur en vigueur depuis le 1er janvier 2021 (RO 2020 4179), précise que le recours en matière civile est recevable contre les décisions de tribunaux arbitraux indépendamment de la valeur litigieuse, tant pour l'arbitrage international que pour l'arbitrage interne (arrêt 4A_200/2021 du 21 juillet 2021 consid. 2).</w:t>
      </w:r>
    </w:p>
    <w:p>
      <w:r>
        <w:t>Pour le reste, 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rPr>
          <w:b/>
        </w:rPr>
        <w:t>E. 5.1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5.2</w:t>
      </w:r>
    </w:p>
    <w:p>
      <w:r>
        <w:t>Dans ses écritures, le recourant allègue un certain nombre de faits et produit diverses pièces ayant trait au déroulement de la procédure arbitrale après la tenue de l'audience et le prononcé de la sentence querellée. Ces faits procéduraux, non relatés dans la sentence attaquée, doivent exceptionnellement être pris en compte par le Tribunal fédéral car ils constituent le fondement même de l'argumentation du recourant voulant que la Formation ait rendu la sentence litigieuse alors qu'elle n'était plus compétente pour le faire respectivement qu'elle ait indûment tardé à statuer (arrêt 4A_490/2013 du 28 janvier 2014 non publié aux ATF 140 III 75 ).</w:t>
      </w:r>
    </w:p>
    <w:p>
      <w:r>
        <w:rPr>
          <w:b/>
        </w:rPr>
        <w:t>E. 6</w:t>
      </w:r>
    </w:p>
    <w:p>
      <w:r>
        <w:t>Dans un moyen qu'il convient d'examiner en premier lieu, le recourant, invoquant l' art. 190 al. 2 let. b LDIP , soutient que la sentence entreprise a été rendue après l'extinction des pouvoirs de la Formation. Avant d'examiner les mérites des critiques formulées par l'intéressé au soutien de ce moyen, il sied de rappeler certains principes jurisprudentiels et de reproduire le texte d'une disposition réglementaire du Code pour mieux saisir le sens des explications qui vont suivre.</w:t>
      </w:r>
    </w:p>
    <w:p>
      <w:r>
        <w:rPr>
          <w:b/>
        </w:rPr>
        <w:t>E. 6.1.1</w:t>
      </w:r>
    </w:p>
    <w:p>
      <w:r>
        <w:t>Saisi du grief d'incompétence, le Tribunal fédéral examine librement les questions de droit, y compris les questions préalables, qui déterminent la compétence ou l'incompétence du tribunal arbitral ( ATF 134 III 565 consid. 3.1 et les références citées). En revanche, il ne revoit les constatations de fait que dans les limites usuelles, même lorsqu'il statue sur ce grief (arrêt 4A_140/2022 du 22 août 2022 consid. 5.4.2.1 et la référence citée).</w:t>
      </w:r>
    </w:p>
    <w:p>
      <w:r>
        <w:rPr>
          <w:b/>
        </w:rPr>
        <w:t>E. 6.1.2</w:t>
      </w:r>
    </w:p>
    <w:p>
      <w:r>
        <w:t>Une sentence rendue postérieurement à l'expiration de la mission de l'arbitre unique ou du tribunal arbitral n'est pas nulle, mais annulable sur recours au titre de la violation de l' art. 190 al. 2 let. b LDIP ( ATF 140 III 75 consid. 4.1).</w:t>
      </w:r>
    </w:p>
    <w:p>
      <w:r>
        <w:rPr>
          <w:b/>
        </w:rPr>
        <w:t>E. 6.2</w:t>
      </w:r>
    </w:p>
    <w:p>
      <w:r>
        <w:t>Dans sa version régissant la présente procédure devant le TAS, l'art. R59 al. 5 du Code énonçait ce qui suit:</w:t>
      </w:r>
    </w:p>
    <w:p>
      <w:r>
        <w:t>"Le dispositif de la sentence doit être communiqué aux parties dans les trois mois suivant le transfert du dossier à la Formation. Ce délai peut être prolongé par le/la Président (e) de la Chambre sur demande motivée du/de la Président (e) de la Formation."</w:t>
      </w:r>
    </w:p>
    <w:p>
      <w:r>
        <w:t>Depuis le 1er novembre 2022, le nouvel art. R59 al. 5 du Code a la teneur suivante:</w:t>
      </w:r>
    </w:p>
    <w:p>
      <w:r>
        <w:t>"Le dispositif de la sentence doit être communiqué aux parties dans les trois mois suivant le transfert du dossier à la Formation. Ce délai peut être prolongé jusqu'à un maximum de quatre mois après la clôture de la procédure d'instruction par le/la Président (e) de la Chambre sur demande motivée du/de la Président (e) de la Formation. En cas de non-respect du délai, la Formation peut être révoquée conformément à l'article sR35 et les honoraires des arbitres peuvent être réduits par le Bureau du CIAS, en fonction des circonstances spécifiques de chaque cas. En tous les cas, le/la Président (e) de Chambre doit informer les parties de la situation et déterminer si un ultime délai est accordé à la Formation ou quelles mesures particulières doivent être prises."</w:t>
      </w:r>
    </w:p>
    <w:p>
      <w:r>
        <w:rPr>
          <w:b/>
        </w:rPr>
        <w:t>E. 6.3</w:t>
      </w:r>
    </w:p>
    <w:p>
      <w:r>
        <w:t>Pour étayer son grief, le recourant expose que le TAS a prolongé à huit reprises, durant la période comprise entre le 8 février 2022 et le 25 novembre 2022, le délai dans lequel la Formation devait rendre sa sentence. Il soutient que le TAS a accordé une quatrième prolongation de délai aux arbitres le 13 juin 2022 alors que le délai dans lequel la sentence aurait dû être rendue avait déjà expiré le 10 juin 2022. Même à supposer que le TAS ait été habilité à octroyer rétroactivement une prolongation de délai, l'intéressé, citant l'art. R59 al. 5 du Code, dans sa version de 2022, prétend que la Formation aurait dû statuer au plus tard dans les quatre mois suivant la clôture de la procédure d'instruction, soit le 18 mai 2022. Se référant à l'arrêt paru aux ATF 140 III 75 , il fait valoir que la Formation, en rendant sa sentence après le 18 mai 2022 respectivement le 10 juin 2022, a statué alors que sa mission avait pris fin s'arrogeant ainsi des pouvoirs qui s'étaient éteints.</w:t>
      </w:r>
    </w:p>
    <w:p>
      <w:r>
        <w:rPr>
          <w:b/>
        </w:rPr>
        <w:t>E. 6.4</w:t>
      </w:r>
    </w:p>
    <w:p>
      <w:r>
        <w:t>Semblable argumentation n'emporte nullement la conviction de la Cour de céans. Force est d'emblée de relever que c'est en vain que l'intéressé affirme que la sentence aurait dû être rendue dans les quatre mois suivant la clôture de l'instruction en se fondant sur l'édition 2022 du Code, puisque celle-ci s'applique uniquement aux procédures mises en oeuvre par le TAS à compter du 1er novembre 2022 (cf. art. R67 du Code du 1er novembre 2022), alors que le recourant a saisi le TAS en date du 28 décembre 2020.</w:t>
      </w:r>
    </w:p>
    <w:p>
      <w:r>
        <w:t>Le recourant ne peut pas davantage être suivi lorsqu'il soutient que la mission de la Formation aurait automatiquement pris fin le 10 juin 2022. Tout d'abord, il sied de relever que le raisonnement du recourant repose sur la prémisse de fait, non avérée, selon laquelle la prolongation de délai accordée le 13 juin 2022 en application de l'art. R59 al. 5 du Code serait intervenue tardivement. En effet, le TAS expose, preuve à l'appui, que la Présidente suppléante de la Chambre arbitrale d'appel a valablement octroyé une prolongation du délai le 10 juin 2022, et non pas le 13 juin 2022, date à laquelle cette décision a été communiquée aux parties.</w:t>
      </w:r>
    </w:p>
    <w:p>
      <w:r>
        <w:t>En tout état de cause et indépendamment de ce qui précède, le parallèle fait par le recourant entre l'arrêt paru aux ATF 140 III 75 et la présente espèce n'est pas de mise. Dans l'affaire à laquelle se réfère l'intéressé, les parties à la procédure d'arbitrage avaient expressément mis un terme au mandat de l'arbitre unique en raison du temps, jugé excessif par elles, mis par ce dernier pour rendre sa décision. Une fois sa mission terminée, l'arbitre en question, lequel avait accepté la fin de son mandat, avait tout de même prononcé une sentence. Dans ces circonstances tout à fait singulières, le Tribunal fédéral a jugé que la sentence rendue postérieurement à l'expiration de la mission de l'arbitre n'était pas nulle, mais annulable sur recours ( ATF 140 III 75 consid. 4.1). En l'espèce, la situation est tout autre, puisque les parties n'ont à aucun moment révoqué les pouvoirs de la Formation. L'art. R59 al. 5 du Code, que ce soit dans sa version applicable au moment des faits ou dans sa teneur actuelle, ne prévoit du reste nullement que le non-respect du délai pour rendre la sentence entraînerait l'extinction automatique des pouvoirs des arbitres saisis d'un litige. En outre, le Tribunal fédéral a déjà eu l'occasion de préciser que le délai visé par l'art. R59 al. 5 du Code est un délai d'ordre (arrêt 4A_600/2018 du 20 février 2009 consid. 4.2.1.1; sur la nature de ce délai, cf. aussi ANTONIO RIGOZZI, L'arbitrage international en matière de sport, 2005, p. 516 n. 1005; RIGOZZI/HASLER, in Arbitration in Switzerland - The Practitioner's Guide, Arroyo [éd.], 2ème éd. 2018, no 15 ad art. R59 du Code). Aussi est-ce en vain que l'intéressé consacre d'importants développements visant à démontrer que les diverses prolongations de délai accordées sur la base de l'art. R59 al. 5 du Code seraient entachées de certaines irrégularités. Il appert ainsi que le non-respect du délai visé par l'art. R59 al. 5 du Code ne saurait priver de plein droit les arbitres de leurs pouvoirs de statuer sur le fond du litige. Il s'ensuit le rejet du grief considéré.</w:t>
      </w:r>
    </w:p>
    <w:p>
      <w:r>
        <w:rPr>
          <w:b/>
        </w:rPr>
        <w:t>E. 7</w:t>
      </w:r>
    </w:p>
    <w:p>
      <w:r>
        <w:t>Dans un autre moyen, divisé en deux branches, le recourant fait valoir que la sentence attaquée est incompatible avec l'ordre public ( art. 190 al. 2 let . e LDIP).</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7.1.1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7.1.2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7.2</w:t>
      </w:r>
    </w:p>
    <w:p>
      <w:r>
        <w:t>Dans la première branche du moyen considéré, le recourant fait valoir que le Code est "arbitraire", car il ne fixe pas de limites au pouvoir du TAS de prolonger le délai dans lequel la Formation est tenue de rendre sa sentence. Il souligne aussi que les parties ne sont pas associées à cette prise de décision et que les prolongations de délai sont dépourvues de motivation.</w:t>
      </w:r>
    </w:p>
    <w:p>
      <w:r>
        <w:t>Force est d'emblée de souligner qu'il n'appartient pas à la Cour de céans de déterminer, abstraitement, si une disposition réglementaire figurant dans le Code est arbitraire. Il lui incombe uniquement de trancher le point de savoir si la sentence querellée est incompatible ou non avec l'ordre public visé par l' art. 190 al. 2 let . e LDIP. Or, en raisonnant comme il le fait, l'intéressé perd non seulement de vue que l'application erronée, voire arbitraire, d'un règlement d'arbitrage ne constitue pas en soi une violation de l'ordre public procédural ( ATF 126 III 249 consid. 3b et les références citées), mais méconnaît aussi que la notion d'atteinte à l'ordre public est plus restrictive que celle d'arbitraire. La critique du recourant est dès lors irrecevable et, en tout état de cause, impropre à établir une quelconque incompatibilité de la sentence incriminée avec l'ordre public.</w:t>
      </w:r>
    </w:p>
    <w:p>
      <w:r>
        <w:rPr>
          <w:b/>
        </w:rPr>
        <w:t>E. 7.3.1</w:t>
      </w:r>
    </w:p>
    <w:p>
      <w:r>
        <w:t>Dans la seconde branche du moyen examiné, le recourant reproche à la Formation d'avoir enfreint le principe de célérité, lequel revêt, à son avis, une importance particulière dans le domaine sportif. A cet égard, il soutient que le TAS n'a pas rendu sa décision dans un délai raisonnable car la procédure arbitrale a duré près de deux ans, ce d'autant que la Formation n'a déployé aucune activité pendant environ une année à la suite de l'audience qu'elle avait tenue le 15 décembre 2021.</w:t>
      </w:r>
    </w:p>
    <w:p>
      <w:r>
        <w:rPr>
          <w:b/>
        </w:rPr>
        <w:t>E. 7.3.2</w:t>
      </w:r>
    </w:p>
    <w:p>
      <w:r>
        <w:t>Le Tribunal fédéral n'a jamais tranché la question de savoir si la violation du principe de célérité peut être assimilée à une atteinte à l'ordre public procédural (cf. arrêt 4A_668/2020 du 17 mai 2021 consid. 4.2). L'intéressé ne fournit du reste aucune référence doctrinale étayant sa position. Quoi qu'il en soit, point n'est besoin de pousser plus avant l'examen de cette question, dès lors que la sentence incriminée ne saurait être taxée d'incompatible avec l'ordre public procédural pour cause de non-respect dudit principe.</w:t>
      </w:r>
    </w:p>
    <w:p>
      <w:r>
        <w:t>Pour apprécier si une cause a été jugée dans un délai raisonnable, il convient de tenir compte de l'ensemble des circonstances du cas concret et, singulièrement, de l'étendue et de la complexité de l'affaire, tant au niveau factuel que juridique, de la nature de la procédure et de son enjeu pour le justiciable, ainsi que du comportement des parties et de celui du tribunal (arrêt 4A_412/2021 du 21 avril 2022 et les références citées). En l'occurrence, si la cause présentait à l'évidence une importance certaine pour le recourant, il appert qu'elle revêtait une complexité non négligeable tant s'agissant des faits que du droit. Les intimés soulignent en outre que leur adversaire a assorti son appel d'une requête urgente de mesures provisionnelles, laquelle a nécessité un échange d'écritures. Le TAS a ensuite dû se prononcer, de manière incidente, sur diverses questions d'ordre procédural. On relèvera par ailleurs que le recourant n'a rien trouvé à redire aux sept premiers reports du délai imparti à la Formation pour rendre sa sentence, puisqu'il n'a attendu que le 22 novembre 2022 pour dénoncer pareil retard. Tout bien considéré, à l'aune de l'ensemble des circonstances, il apparaît ainsi que la durée de la procédure arbitrale, inférieure à deux ans, n'est pas déraisonnable et ne conduit nullement à une contradiction insupportable avec le sentiment de justice. Si cette durée est certes longue par rapport à celle d'autres affaires tranchées par le TAS, elle demeure cependant raisonnable pour les cas de manipulations de rencontres sportives, lesquels impliquent généralement une procédure d'instruction plus complexe.</w:t>
      </w:r>
    </w:p>
    <w:p>
      <w:r>
        <w:t>Au vu de ce qui précède, le recours ne peut qu'être rejeté dans la mesure de sa recevabilité.</w:t>
      </w:r>
    </w:p>
    <w:p>
      <w:r>
        <w:rPr>
          <w:b/>
        </w:rPr>
        <w:t>E. 8</w:t>
      </w:r>
    </w:p>
    <w:p>
      <w:r>
        <w:t>Le recourant, qui succombe, prendra à sa charge les frais de la procédure fédérale ( art. 66 al. 1 LTF ) et versera en outre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