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4A_229/2016 vom 6. Oktober 2016</w:t>
      </w:r>
    </w:p>
    <w:p>
      <w:r>
        <w:t>Bundesgericht, 2016-10-06, DE</w:t>
      </w:r>
    </w:p>
    <w:p>
      <w:r>
        <w:rPr>
          <w:b/>
        </w:rPr>
        <w:t xml:space="preserve">Quelle: </w:t>
      </w:r>
      <w:r>
        <w:t>https://mcp.opencaselaw.ch/entscheid/bger_4A_229_2016</w:t>
      </w:r>
    </w:p>
    <w:p>
      <w:r>
        <w:t>FR: TF 4A_229/2016 du 6 octobre 2016</w:t>
      </w:r>
    </w:p>
    <w:p>
      <w:r>
        <w:t>IT: TF 4A_229/2016 del 6 ottobre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Dass die Beschwerdeführerin bereits am 2. Dezember 2015 ein Schlichtungsgesuch mit den oben wiedergegebenen Rechtsbegehren beim Friedensrichteramt Küsnacht eingereicht hat, welche die umstrittene Forderung über Fr. 241'556.-- zum Gegenstand haben, geht aus den für das Bundesgericht gemäss Art. 105 Abs. 1 BGG verbindlichen Feststellungen im angefochtenen Entscheid zum Prozesssachverhalt nicht hervor. Dieser Umstand wurde dem Bundesgericht erst durch mit Urkunden belegten Vorbringen der Beschwerdegegnerin in ihrer Beschwerdeantwort zur Kenntnis gebracht. Er wird von der Beschwerdeführerin, die auf eine Replik zur Beschwerdeantwort verzichtet hat, nicht bestritten.</w:t>
      </w:r>
    </w:p>
    <w:p>
      <w:r>
        <w:t>Die Frage, ob bereits ein Forderungsprozess anhängig gemacht worden ist, beschlägt die Eintretensvoraussetzungen der vorliegenden Beschwerde in Zivilsachen. Die entsprechenden Vorbringen betreffend die Einleitung das Schlichtungsverfahrens fallen daher nicht unter das Novenverbot von Art. 99 Abs. 1 BGG und können vom Bundesgericht von Amtes wegen berücksichtigt werden ( BGE 138 III 532 E. 1.2 S. 535 m.H. auf LORENZ MEYER, Wege zum Bundesgericht - Übersicht und Stolpersteine, ZBJV 146/2010 S. 797 ff., S. 880 Ziff. 6.5.5).</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w:t>
      </w:r>
    </w:p>
    <w:p>
      <w:r>
        <w:t>Wird unabhängig von der Einleitung des Hauptprozesses um vorsorgliche Beweisführung ersucht, so gilt der abweisende kantonale Entscheid als Endentscheid, bei bereits hängigem Hauptverfahren dagegen als Zwischenentscheid i.S. von Art. 93 BGG (Urteile 4A_342/2014 vom 17. Oktober 2014 E. 1; 4A_225/2013 vom 14. November 2013 E. 1.1, nicht publ. in: BGE 140 III 16 ; 138 III 76 E. 1.2 S. 79, 46 E. 1.1 S. 46 f.).</w:t>
      </w:r>
    </w:p>
    <w:p>
      <w:r>
        <w:t>Die Rechtshängigkeit der Hauptsache tritt bereits mit der Einreichung eines Schlichtungsgesuchs ein ( Art. 62 Abs. 1 ZPO ; BGE 141 III 101 E. 2.6; Urteil 4A_482/2015 vom 7. Januar 2016 E. 2.1).</w:t>
      </w:r>
    </w:p>
    <w:p>
      <w:r>
        <w:rPr>
          <w:b/>
        </w:rPr>
        <w:t>E. 1.3</w:t>
      </w:r>
    </w:p>
    <w:p>
      <w:r>
        <w:t>Gegen selbständig eröffnete Zwischenentscheide im Sinne von Art. 93 BGG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die Beschwerdeführerin günstigen Entscheid in der Zukunft nicht mehr behoben werden kann. Die Beschwerdeführerin muss in der Beschwerdebegründung aufzeigen, inwiefern ihr im konkreten Fall ein nicht wieder gutzumachender Nachteil rechtlicher Natur droht, ansonsten auf die Beschwerde mangels hinreichender Begründung nicht einzutreten ist ( BGE 138 III 46 E. 1.2 S. 47, 333 E. 1.3.1 S. 335; 137 III 324 E. 1.1 S. 327 f.; je mit Hinweisen). Nach der bundesgerichtlichen Rechtsprechung bewirken Anordnungen betreffend Beweismassnahmen in aller Regel keinen nicht wieder gutzumachenden Nachteil ( BGE 134 III 188 E. 2.3 S. 191).</w:t>
      </w:r>
    </w:p>
    <w:p>
      <w:r>
        <w:rPr>
          <w:b/>
        </w:rPr>
        <w:t>E. 1.4</w:t>
      </w:r>
    </w:p>
    <w:p>
      <w:r>
        <w:t>Die Beschwerdeführerin hat vorliegend das Gesuch um vorsorgliche Beweisführung nicht unabhängig von der Einleitung eines Hauptprozesses gestellt, sondern nach Einreichung des Schlichtungsgesuchs, also während bereits begründeter Rechtshängigkeit des Forderungsprozesses. Dass die Beschwerdeführerin die ihr erteilte Klagebewilligung verfallen lassen, also auf eine Einreichung der Klage innerhalb der Frist nach Art. 209 Abs. 3 und 4 ZPO und damit den Fortgang des Prozesses verzichtet hat, ergibt sich weder aus den Akten, noch macht dies die Beschwerdeführerin geltend (wozu sie in einer allfälligen Replikschrift Gelegenheit gehabt hätte). Es ist folglich davon auszugehen, dass es sich beim angefochtenen Entscheid betreffend vorsorgliche Beweisführung nicht um einen Entscheid in einem eigenständigen Verfahren handelt, sondern um einen Entscheid im Zusammenhang mit dem Forderungsprozess, der durch das Schlichtungsgesuch vom 2. Dezember 2015 anhängig gemacht wurde. Dieser ist somit als selbständig eröffneter Zwischenentscheid im Sinne von Art. 93 BGG zu behandeln. Zu den entsprechenden Anfechtungsvoraussetzungen äussert sich die Beschwerdeführerin nun aber in ihrer Eingabe an das Bundesgericht mit keinem Wort und es springt auch nicht ins Auge, inwiefern diese gegeben sein sollen. Auf die Beschwerde ist nicht einzutreten.</w:t>
      </w:r>
    </w:p>
    <w:p>
      <w:r>
        <w:rPr>
          <w:b/>
        </w:rPr>
        <w:t>E. 2</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