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4A_229/2012 vom 19. Juli 2012</w:t>
      </w:r>
    </w:p>
    <w:p>
      <w:r>
        <w:t>Bundesgericht, 2012-07-19, FR</w:t>
      </w:r>
    </w:p>
    <w:p>
      <w:r>
        <w:rPr>
          <w:b/>
        </w:rPr>
        <w:t xml:space="preserve">Quelle: </w:t>
      </w:r>
      <w:r>
        <w:t>https://mcp.opencaselaw.ch/entscheid/bger_4A_229_2012</w:t>
      </w:r>
    </w:p>
    <w:p>
      <w:r>
        <w:t>FR: TF 4A_229/2012 du 19 juillet 2012</w:t>
      </w:r>
    </w:p>
    <w:p>
      <w:r>
        <w:t>IT: TF 4A_229/2012 del 19 luglio 2012</w:t>
      </w:r>
    </w:p>
    <w:p>
      <w:pPr>
        <w:pStyle w:val="Heading2"/>
      </w:pPr>
      <w:r>
        <w:t>Erwägungen</w:t>
      </w:r>
    </w:p>
    <w:p>
      <w:r>
        <w:rPr>
          <w:b/>
        </w:rPr>
        <w:t>E. 1</w:t>
      </w:r>
    </w:p>
    <w:p>
      <w:r>
        <w:t>En règle générale, dans les affaires pécuniaires civiles, le recours ordinaire au Tribunal fédéral n'est recevable que si la valeur litigieuse s'élève à 30'000 fr. au moins ( art. 74 al. 1 let. b LTF ). Cette valeur est déterminée d'après les conclusions restées litigieuses devant l'autorité précédente ( art. 51 al. 1 let. a LTF ). Les divers chefs de conclusions formés par la même partie sont additionnés, à moins qu'ils ne s'excluent ( art. 52 LTF ). En règle générale, le montant d'une demande reconventionnelle et celui d'une demande principale ne sont pas additionnés ( art. 52 al. 1 LTF ). Par ailleurs, les conclusions soumises au Tribunal fédéral doivent être motivées ( art. 42 al. 1 LTF ).</w:t>
      </w:r>
    </w:p>
    <w:p>
      <w:r>
        <w:t>Au regard de ces règles, la valeur minimale est atteinte sur tous les chefs de la contestation qui oppose la recourante à B.________ SA, alors même que le solde du prix des travaux de Bussigny est inférieur à 30'000 francs.</w:t>
      </w:r>
    </w:p>
    <w:p>
      <w:r>
        <w:t>La valeur minimale aussi est atteinte pour les dommages-intérêts que la recourante réclame encore à C.________ Sàrl. La motivation du recours ne porte toutefois que sur deux chefs d'indemnisation au total de 35'037 fr.; par conséquent, en tant qu'elles excèdent ce total, les conclusions prises contre l'appelée en cause sont irrecevables.</w:t>
      </w:r>
    </w:p>
    <w:p>
      <w:r>
        <w:t>D'après ces mêmes conclusions, la prestation d'honoraires que C.________ Sàrl a obtenue par 12'028 fr. en capital semble incontestée; le cas échéant, elle n'est pas contestée de manière recevable car la motivation du recours est totalement silencieuse à son sujet.</w:t>
      </w:r>
    </w:p>
    <w:p>
      <w:r>
        <w:t>Pour le surplus, les conditions de recevabilité du recours en matière civile sont satisfaites.</w:t>
      </w:r>
    </w:p>
    <w:p>
      <w:r>
        <w:rPr>
          <w:b/>
        </w:rPr>
        <w:t>E. 2</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3</w:t>
      </w:r>
    </w:p>
    <w:p>
      <w:r>
        <w:t>Le code de procédure civile unifié (CPC) est entré en vigueur le 1er janvier 2011 alors que la cause était pendante devant le Tribunal civil. Par l'effet des art. 404 al. 1 et 405 al. 1 CPC, la procédure de première instance est demeurée soumise au droit cantonal antérieur tandis que l'appel était régi par le code unifié.</w:t>
      </w:r>
    </w:p>
    <w:p>
      <w:r>
        <w:rPr>
          <w:b/>
        </w:rPr>
        <w:t>E. 4</w:t>
      </w:r>
    </w:p>
    <w:p>
      <w:r>
        <w:t>En appel, X.________ SA a demandé une nouvelle audition de quatre témoins entendus par le Tribunal civil, dont les dépositions n'avaient pas été consignées au procès-verbal ni reproduites, même partiellement, dans le jugement. La Cour d'appel n'a pas donné suite à cette requête. La recourante tient ce refus pour incompatible avec le droit d'être entendu garanti par l' art. 29 al. 2 Cst. , compte tenu que l'appel était recevable pour constatation inexacte des faits ( art. 310 let. b CPC ), mais que, à défaut de compte rendu des témoignages, elle se trouvait dépourvue de toute possibilité de discuter l'appréciation de ces preuves par les premiers juges.</w:t>
      </w:r>
    </w:p>
    <w:p>
      <w:r>
        <w:t>L' art. 316 al. 3 CPC habilite l'autorité d'appel à administrer des preuves. L'autorité jouit à ce sujet d'un large pouvoir d'appréciation; elle peut notamment répéter des mesures probatoires déjà accomplies par le tribunal du premier degré ou accueillir des offres de preuve que ce tribunal a rejetées (Peter Reetz et Sarah Hilber, in Kommentar zur Schweizerischen Zivilprozessordnung, Thomas Sutter-Somm, éd., 2010, n° 47 ad art. 316 CPC ). Au demeurant, selon l' art. 150 al. 1 CPC , la preuve n'a pour objet que des faits pertinents et contestés. Les faits pertinents sont ceux propres à influencer la solution juridique de la contestation (Franz Hasenböhler, ibid., n° 12 ad art. 150 CPC ).</w:t>
      </w:r>
    </w:p>
    <w:p>
      <w:r>
        <w:t>Le droit d'être entendu garanti par l' art. 29 al. 2 Cst. inclut le droit à l'administration des preuves valablement offertes,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t>Selon l'argumentation développée par la recourante, les témoins devaient notamment attester que « les parties avaient convenu avant tout d'une installation de chauffage » et que « le défaut affectant la partie relative au chauffage a causé à la recourante un dommage considérable »; ils devaient aussi attester du « rôle joué par C.________ Sàrl ».</w:t>
      </w:r>
    </w:p>
    <w:p>
      <w:r>
        <w:t>Ces allégations sont inconsistantes. En ce qui concerne spécialement l'ouvrage à réaliser par B.________ SA, la décision attaquée fait comprendre sans équivoque que les locaux de Bussigny devaient être chauffés au moyen de la ventilation, à l'exclusion de tout autre chauffage, et que l'air pulsé dans l'installation devait être chauffé par récupération de la chaleur du four, ou, en tant que cette chaleur serait insuffisante, par des corps de chauffe électriques. La recourante omet entièrement d'indiquer les précisions importantes que les témoins auraient pu apporter, censément, sur les fonctions ainsi attendues de l'installation. Il est par ailleurs inutile que des témoins soient entendus pour faire état d'un « dommage considérable »; la partie qui prétend à indemnité doit plutôt apporter la preuve concluante d'un dommage concret. En vérité, la recourante ne critique guère les constatations de fait de la Cour d'appel et elle n'explique donc pas en quoi cette autorité aurait dû parvenir à des constatations différentes par suite de l'audition des quatre témoins. Elle échoue donc à démontrer la pertinence de la preuve vainement offerte devant cette autorité; partant, elle échoue à mettre en évidence une violation de son droit d'être entendue.</w:t>
      </w:r>
    </w:p>
    <w:p>
      <w:r>
        <w:rPr>
          <w:b/>
        </w:rPr>
        <w:t>E. 5</w:t>
      </w:r>
    </w:p>
    <w:p>
      <w:r>
        <w:t>Il est constant que X.________ SA s'est liée à B.________ SA par des contrats d'entreprise, tant pour les travaux de Crissier que pour ceux de Bussigny, et qu'elle s'est obligée à payer le prix des ouvrages. Elle soutient cependant que l'ouvrage de Bussigny est si gravement défectueux qu'elle se trouve en droit de ne rien payer pour celui-ci. Elle refuse ainsi le solde de 22'120 fr. encore impayé et elle prétend récupérer ses deux acomptes par compensation avec ce qu'elle doit encore pour les travaux de Crissier.</w:t>
      </w:r>
    </w:p>
    <w:p>
      <w:r>
        <w:rPr>
          <w:b/>
        </w:rPr>
        <w:t>E. 6</w:t>
      </w:r>
    </w:p>
    <w:p>
      <w:r>
        <w:t>L' art. 368 al. 1 CO prévoit que si l'ouvrage est défectueux au point que le maître ne peut pas en faire usage, ou ne peut pas être équitablement contraint de l'accepter, il a le droit de le refuser. Le contrat est alors résolu et le maître a le droit d'exiger la restitution de ce qu'il a déjà payé, avec intérêts au taux légal selon l' art. 73 al. 1 CO , dès le paiement (François Chaix, Commentaire romand, nos 23 à 25 ad art. 368 CO ; Peter Gauch, Der Werkvertrag, 2011, n° 1535 p. 602). En cas de défaut moins important, l' art. 368 al. 2 CO autorise le maître à exiger la réparation de l'ouvrage aux frais de l'entrepreneur, si la réparation est possible sans dépense excessive, ou à réduire le prix en proportion de la moins-value.</w:t>
      </w:r>
    </w:p>
    <w:p>
      <w:r>
        <w:t>L' 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w:t>
      </w:r>
    </w:p>
    <w:p>
      <w:r>
        <w:t>Les autorités précédentes ont jugé que B.________ SA aurait dû connaître et prendre en considération la législation cantonale sur l'énergie, de sorte que la diminution de puissance que cette législation a imposée pour les corps de chauffe, de vingt-cinq à huit kilowatts, est un défaut imputable à cette entreprise. Elles ont jugé que ce défaut n'est pas suffisamment important pour justifier un refus de l'ouvrage.</w:t>
      </w:r>
    </w:p>
    <w:p>
      <w:r>
        <w:t>En dépit de l'opinion différente de X.________ SA, leur appréciation mérite l'adhésion du Tribunal fédéral. Il a été possible à la maîtresse de l'ouvrage de remédier à l'insuffisance du chauffage avec l'adjonction d'un autre équipement, consistant dans des radiateurs raccordés au chauffage d'un bâtiment voisin. Il n'est pas constaté que le système mixte ainsi mis en oeuvre présente un quelconque inconvénient par rapport à la solution initialement prévue; un inconvénient rédhibitoire est donc moins encore établi. Nonobstant un autre défaut qui a aussi été reconnu et réparé, les fonctions que l'installation devait assurer, telles la ventilation, sont effectivement et entièrement disponibles. L' art. 368 al. 1 CO n'autorise donc pas la maîtresse de l'ouvrage à résoudre le contrat concerné.</w:t>
      </w:r>
    </w:p>
    <w:p>
      <w:r>
        <w:rPr>
          <w:b/>
        </w:rPr>
        <w:t>E. 7</w:t>
      </w:r>
    </w:p>
    <w:p>
      <w:r>
        <w:t>En application des art. 368 al. 2 et 369 CO , le Tribunal civil a admis une moins-value consécutive à l'insuffisance du chauffage; il en a estimé la valeur au coût de l'installation des radiateurs qui n'étaient pas prévus dans le projet initial. Le tribunal a considéré que cette moins-value était imputable par moitié à l'entreprise et à la maîtresse de l'ouvrage, parce que celle-là n'était pas parvenue à mettre en service des corps de chauffe suffisamment puissants et parce que celle-ci avait renoncé à l'utilisation du four de la boulangerie, lequel était pourtant censé, dans la conception de l'installation, apporter l'essentiel de la chaleur nécessaire. Le tribunal a donc diminué le prix de 11'500 fr., soit la moitié de la dépense faite pour l'installation des radiateurs.</w:t>
      </w:r>
    </w:p>
    <w:p>
      <w:r>
        <w:t>La Cour d'appel applique les mêmes dispositions d'une manière différente. Elle retient une moins-value de 15'000 fr. consécutive au défaut des corps de chauffe, imputable en entier à B.________ SA. A cette partie, la Cour impute encore une autre moins-value de 2'000 fr. et des dommages-intérêts au montant de 300 fr., de sorte qu'en définitive, elle diminue le prix de 17'300 francs.</w:t>
      </w:r>
    </w:p>
    <w:p>
      <w:r>
        <w:t>Devant le Tribunal fédéral, X.________ SA fait valoir qu'elle seule a appelé du jugement de première instance et que la décision d'appel ne peut pas lui être moins favorable que ce jugement; de cela, elle déduit que la Cour d'appel ne pouvait pas réduire à 15'000 fr. une moins-value d'abord arrêtée à 23'000 fr. par les premiers juges. Quoiqu'elle ne mentionne pas cette disposition, la recourante invoque de façon suffisamment explicite la maxime de disposition consacrée par l' art. 58 al. 1 CPC .</w:t>
      </w:r>
    </w:p>
    <w:p>
      <w:r>
        <w:t>La moins-value de 23'000 fr. retenue par le Tribunal civil se rapportait à l'insuffisance du chauffage considérée globalement, toutes causes confondues; celle de 15'000 fr. retenue en appel ne se rapporte qu'à une seule cause, soit au manque de puissance des corps de chauffe installés par B.________ SA. A raison de ce défaut, la décision d'appel réduit le prix de 15'000 fr. au lieu de 11'500 fr. seulement; cette décision est donc avantageuse à la recourante et il n'y a pas lieu de s'attarder davantage au grief tiré d'une reformatio in peius. Pour le surplus, la recourante ne prétend pas que le prix doive être réduit de plus de 17'300 francs.</w:t>
      </w:r>
    </w:p>
    <w:p>
      <w:r>
        <w:rPr>
          <w:b/>
        </w:rPr>
        <w:t>E. 8</w:t>
      </w:r>
    </w:p>
    <w:p>
      <w:r>
        <w:t>X.________ SA soutient qu'elle s'est liée à C.________ Sàrl par un contrat de mandat et que la mission confiée à cette société a été mal exécutée; elle prétend donc à des dommages-intérêts sur la base de l' art. 398 CO .</w:t>
      </w:r>
    </w:p>
    <w:p>
      <w:r>
        <w:t>En instance fédérale, seuls deux chefs d'indemnisation sont encore litigieux: 13'000 fr. au titre des frais supportés pour dissimuler, selon l'injonction de l'autorité communale, les éléments de l'installation implantés sur la toiture du bâtiment, et 18'037 fr.80 au titre des dépens de l'expertise hors procès.</w:t>
      </w:r>
    </w:p>
    <w:p>
      <w:r>
        <w:rPr>
          <w:b/>
        </w:rPr>
        <w:t>E. 9</w:t>
      </w:r>
    </w:p>
    <w:p>
      <w:r>
        <w:t>X.________ SA reproche à C.________ Sàrl de n'avoir pas prévu les travaux de dissimulation et, partant, de n'avoir pas prévu les frais y relatifs dans le devis.</w:t>
      </w:r>
    </w:p>
    <w:p>
      <w:r>
        <w:t>Les règles du mandat sont applicables à l'activité de l'architecte ou de tout autre praticien consistant à établir, à l'intention du maître de l'ouvrage, le devis des travaux dont l'exécution sera confiée à autrui ( ATF 134 III 361 consid. 6.2.3 et 6.2.4 p. 365). Ce mandataire est donc responsable selon l' art. 398 CO du dommage causé par une sous-estimation des coûts.</w:t>
      </w:r>
    </w:p>
    <w:p>
      <w:r>
        <w:t>Le dommage consiste dans la différence entre la dépense effectivement supportée par le mandant et celle, supposée inférieure, que celui-ci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en assumant volontairement les coûts réels. En principe, il incombe au mandant de prouver qu'il aurait pris des décisions différentes si son cocontractant lui avait fourni une estimation exacte (arrêt 4C.424/2004 du 15 mars 2005, consid. 5.1.1).</w:t>
      </w:r>
    </w:p>
    <w:p>
      <w:r>
        <w:t>X.________ SA n'a pas allégué, semble-t-il, qu'elle eût fait étudier et réaliser une installation de chauffage et de ventilation différente, à moindres frais, dans l'hypothèse où elle eût connu la nécessité de dissimuler les éléments en toiture et que le devis établi par C.________ Sàrl l'eût avertie des coûts correspondants. La recourante ne tente en tout cas pas de démontrer que les constatations cantonales soient à ce sujet incomplètes. Faute d'avoir établi un dommage pertinent, elle ne peut donc prétendre à aucune réparation.</w:t>
      </w:r>
    </w:p>
    <w:p>
      <w:r>
        <w:t>La Cour d'appel refuse les dommages-intérêts au motif que le coût spécifique des travaux de dissimulation en toiture n'est pas documenté autrement que par une estimation antérieure à leur exécution, dans l'expertise hors procès, alors que la maîtresse de l'ouvrage aurait pu et dû prouver précisément sa dépense effective. A première vue, en dépit de l'opinion contraire de cette partie, l'autorité précédente a ainsi appliqué correctement l' art. 42 CO relatif à la preuve ou à l'estimation d'un dommage. Il n'est cependant pas nécessaire de discuter ce point puisque ce coût spécifique n'est de toute manière pas un dommage sujet à réparation.</w:t>
      </w:r>
    </w:p>
    <w:p>
      <w:r>
        <w:rPr>
          <w:b/>
        </w:rPr>
        <w:t>E. 10</w:t>
      </w:r>
    </w:p>
    <w:p>
      <w:r>
        <w:t>La Cour d'appel juge que C.________ Sàrl ne doit pas être condamnée à rembourser les dépens de l'expertise hors procès car aucune des prétentions élevées contre elle n'a été accueillie. X.________ SA ne soutient pas que ce raisonnement soit intrinsèquement erroné; elle se borne à affirmer qu'il « tombe à faux » car elle a prétendument droit à des dommages-intérêts correspondant au coût des travaux de dissimulation. La prémisse dudit raisonnement étant confirmée, sa conclusion doit l'être aussi.</w:t>
      </w:r>
    </w:p>
    <w:p>
      <w:r>
        <w:rPr>
          <w:b/>
        </w:rPr>
        <w:t>E. 11</w:t>
      </w:r>
    </w:p>
    <w:p>
      <w:r>
        <w:t>Le recours se révèle en tous points privé de fondement, dans la mesure où les conclusions présentées sont recevables. A titre de partie qui succombe, son auteur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