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4A_228/2019 vom 2. September 2019</w:t>
      </w:r>
    </w:p>
    <w:p>
      <w:r>
        <w:t>Bundesgericht, 2019-09-02, FR</w:t>
      </w:r>
    </w:p>
    <w:p>
      <w:r>
        <w:rPr>
          <w:b/>
        </w:rPr>
        <w:t xml:space="preserve">Quelle: </w:t>
      </w:r>
      <w:r>
        <w:t>https://mcp.opencaselaw.ch/entscheid/bger_4A_228_2019</w:t>
      </w:r>
    </w:p>
    <w:p>
      <w:r>
        <w:t>FR: TF 4A_228/2019 du 2 septembre 2019</w:t>
      </w:r>
    </w:p>
    <w:p>
      <w:r>
        <w:t>IT: TF 4A_228/2019 del 2 settembre 2019</w:t>
      </w:r>
    </w:p>
    <w:p>
      <w:pPr>
        <w:pStyle w:val="Heading2"/>
      </w:pPr>
      <w:r>
        <w:t>Erwägungen</w:t>
      </w:r>
    </w:p>
    <w:p>
      <w:r>
        <w:rPr>
          <w:b/>
        </w:rPr>
        <w:t>E. 1</w:t>
      </w:r>
    </w:p>
    <w:p>
      <w:r>
        <w:t>Le litige porte sur une obligation de prestation résultant d'une assurance complémentaire à l'assurance-maladie sociale. Selon l' art. 2 al. 2 LSAMal (loi fédérale sur la surveillance de l'assurance-maladie sociale; RS 832.12), ces assurances complémentaires sont régies par la LCA (loi fédérale sur le contrat d'assurance; RS 221.229.1), qui ressortit au droit privé. Les conflits relatifs à ce type d'assurance relèvent donc de la matière civile au sens de l' art. 72 al. 1 LTF ( ATF 138 III 2 consid. 1.1; 133 III 439 consid. 2.1).</w:t>
      </w:r>
    </w:p>
    <w:p>
      <w:r>
        <w:t>Au surplus, l'arrêt attaqué est une décision finale ( art. 90 LTF ), rendue par la IIème Cour des assurances sociales du Tribunal cantonal du canton de Fribourg statuant en instance cantonale unique au sens de l' art. 7 CPC et de l' art. 75 al. 2 let. a LTF (cf. ATF 138 III 799 consid. 1.1), de sorte que le présent recours est ouvert sans égard à la valeur litigieuse ( art. 74 al. 2 let. b LTF ). Interjeté par la partie défenderesse qui a succombé dans ses conclusions libératoires ( art. 76 al. 1 LTF ), le recours est recevable sur le principe, puisqu'il a été déposé en temps utile ( art. 100 al. 1 LTF ) et dans les formes prévues par la loi ( art. 42 LTF ); l'examen des griefs particuliers est réservé.</w:t>
      </w:r>
    </w:p>
    <w:p>
      <w:r>
        <w:rPr>
          <w:b/>
        </w:rPr>
        <w:t>E. 2</w:t>
      </w:r>
    </w:p>
    <w:p>
      <w:r>
        <w:t>La recourante invoque plusieurs violations du droit fédéral ainsi que des conditions générales d'assurance applicables en l'espèce. Elle mentionne également des " violations de l' art. 97 LTF ".</w:t>
      </w:r>
    </w:p>
    <w:p>
      <w:r>
        <w:rPr>
          <w:b/>
        </w:rPr>
        <w:t>E. 2.1</w:t>
      </w:r>
    </w:p>
    <w:p>
      <w:r>
        <w:t>Le Tribunal cantonal a notamment fondé sa décision sur une expertise médicale pluridisciplinaire réalisée par la policlinique médicale universitaire de Lausanne. Selon cette expertise, la capacité de travail de l'intimé dans son activité de chauffeur poids lourds est nulle en raison d'une discopathie. De l'avis des experts, l'intimé jouit en revanche d'une capacité de travail complète dans une activité adaptée à diverses limitations fonctionnelles, cette capacité étant attestée dès le mois d'août 2015. La cour cantonale a tout d'abord relevé que les parties s'accordaient sur les conclusions de l'expertise sur ces points et qu'il n'existait pas de motifs de s'en écarter. S'agissant de l'obligation de l'intimé de changer de profession afin de réduire le dommage lié à son incapacité de travail, elle a noté qu'aucun avertissement n'avait été adressé à l'intimé à ce propos et qu'aucun délai ne lui avait été imparti afin de s'adapter aux nouvelles conditions et trouver un emploi. Pareilles démarches étant à son sens requises de la part d'une assurance fondant son refus d'indemniser un assuré sur la base de cette obligation selon la jurisprudence, elle a conclu que la recourante se trouvait dans l'obligation de verser des indemnités journalières complètes à l'intimé jusqu'au 30 avril 2018.</w:t>
      </w:r>
    </w:p>
    <w:p>
      <w:r>
        <w:rPr>
          <w:b/>
        </w:rPr>
        <w:t>E. 2.2</w:t>
      </w:r>
    </w:p>
    <w:p>
      <w:r>
        <w:t>La recourante fonde son argumentation sur le constat des experts désignés par le Tribunal cantonal selon lequel l'intimé était apte à travailler à 100% dès le mois d'août 2015 dans une activité adaptée à son état physique. Au vu de cette aptitude, elle estime ne pas avoir à indemniser l'intimé. Elle soutient que l'argumentation de l'autorité précédente selon laquelle elle aurait dû avertir l'intimé de son devoir de diminuer le dommage en changeant de profession et lui impartir un délai pour ce faire n'est pas soutenable, l'intimé ayant été apte à reprendre une activité avant même que son incapacité de travail soit annoncée à l'assurance. Elle précise en outre qu'au moment où l'expertise judiciaire lui a été transmise, soit le 28 août 2018, le versement des indemnités journalières n'était plus d'actualité, raison pour laquelle elle ne pouvait plus avertir l'intimé de son devoir de réduire le dommage. De plus, elle déduit des déclarations de l'intimé selon lesquelles il perçoit depuis août 2017 70% de son salaire de la part de l'assurance-chômage l'aptitude de ce dernier à travailler à 100%, aptitude confirmée par l'expertise judiciaire.</w:t>
      </w:r>
    </w:p>
    <w:p>
      <w:r>
        <w:rPr>
          <w:b/>
        </w:rPr>
        <w:t>E. 2.3.1</w:t>
      </w:r>
    </w:p>
    <w:p>
      <w:r>
        <w:t>Selon l' art. 61 LCA (loi fédérale sur le contrat d'assurance; RS 221.229.1),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Le Tribunal fédéral a considéré que l' art. 61 LCA était l'expression d'un principe général dont il peut être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approprié. Selon la jurisprudence,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 ATF 133 III 527 consid. 3.2.1; arrêts 4A_73/2019 du 29 juillet 2019 consid. 3.3.2; 4A_495/2016 du 5 janvier 2017 consid. 2.3; 4A_574/2014 du 15 janvier 2015 consid. 4.1).</w:t>
      </w:r>
    </w:p>
    <w:p>
      <w:r>
        <w:rPr>
          <w:b/>
        </w:rPr>
        <w:t>E. 2.3.2</w:t>
      </w:r>
    </w:p>
    <w:p>
      <w:r>
        <w:t>Il ressort de l'arrêt entrepris que la recourante n'a jamais adressé à l'intimé d'avertissement au sujet du changement de profession commandé par l'obligation de ce dernier de diminuer le dommage causé par son invalidité et ne lui a jamais imparti de délai pour ce faire. La recourante ne le conteste d'ailleurs pas, se contentant de faire valoir que l'intimé était déjà apte à reprendre une activité adaptée à ses limitations fonctionnelles avant même que son incapacité soit signalée à l'assureur et que l'expertise judiciaire faisant état d'une capacité de travail complète dans une telle activité n'est parvenue à l'assurance qu'en date du 28 août 2018. Elle ne peut être suivie. Avant de se rallier aux conclusions de l'expertise judiciaire sur ce point, la recourante soutenait que l'intimé était apte à reprendre son activité de chauffeur poids lourds à 100%. L'expertise judiciaire a permis d'invalider cette hypothèse, sur laquelle la recourante fondait son refus de continuer à verser à l'intimé des indemnités journalières, et d'établir que l'intimé n'était apte au travail que dans le cadre d'une activité adaptée à ses limitations fonctionnelles. Selon la jurisprudence précitée, il appartient dans pareille situation à l'assureur de rendre attentif l'assuré au changement de profession dont il estime qu'il peut raisonnablement être attendu de l'assuré et donner un délai à ce dernier pour s'adapter à ces nouvelles conditions. Le fait que la capacité de travail de l'assuré dans une autre activité adaptée à son état de santé ait été établi de manière rétroactive par une expertise judiciaire, dont il n'est pas rare que les conclusions interviennent à un moment où le versement des indemnités journalières n'est plus d'actualité, n'y change rien. Rien n'empêchait la recourante de demander à l'intimé, qui estimait quant à lui - à raison - ne pas être en mesure de poursuivre son activité, de se mettre à la recherche d'une activité compatible avec son état de santé et de lui impartir un délai pour ce faire. Le fait qu'en cas de désaccord entre les parties sur la question de la capacité de travail de l'assuré un certain temps soit nécessaire avant que la vérité judiciaire ne soit établie n'exonère pas l'assureur des devoirs susmentionnés s'il veut pouvoir fonder sa décision de cesser l'indemnisation de l'assuré sur la possibilité réelle de ce dernier d'exercer une autre activité rémunérée adaptée à son état de santé.</w:t>
      </w:r>
    </w:p>
    <w:p>
      <w:r>
        <w:rPr>
          <w:b/>
        </w:rPr>
        <w:t>E. 2.3.3</w:t>
      </w:r>
    </w:p>
    <w:p>
      <w:r>
        <w:t>S'agissant du rapport de l'assurance-invalidité à l'assurance-chômage, on peine à comprendre ce que la recourante reproche à l'autorité précédente. Quoi qu'il en soit, il y a lieu de rappeler que le concours entre ces assurances est réglé par l' art. 28 al. 2 LACI (loi fédérale sur l'assurance-chômage obligatoire et l'indemnité en cas d'insolvabilité; RS 837.0) qui stipule que les indemnités journalières de l'assurance-maladie ou de l'assurance-accidents qui représentent une compensation de la perte de gain sont déduites de l'indemnité de chômage. La recourante en tant qu'assureur privé couvrant la perte de gain due à la maladie ne pouvait cesser le versement des indemnités journalières au motif de versements de l'assurance-chômage pour la même période (cf. sur cette question l' ATF 144 III 136 consid. 4.3). En l'espèce, l'autorité précédente a prononcé le versement d'indemnités journalières à l'intimé pour une période allant jusqu'au 30 avril 2018. Afin d'éviter une potentielle surindemnisation de l'intimé, au bénéfice selon ses propres dires de prestations de l'assurance chômage depuis août 2017, il convient de communiquer le présent arrêt à la caisse publique de chômage.</w:t>
      </w:r>
    </w:p>
    <w:p>
      <w:r>
        <w:rPr>
          <w:b/>
        </w:rPr>
        <w:t>E. 2.3.4</w:t>
      </w:r>
    </w:p>
    <w:p>
      <w:r>
        <w:t>Ainsi, c'est à juste titre que la cour cantonale a nié le droit de la recourante à interrompre le versement des indemnités journalières. Il n'y a dès lors pas lieu de s'interroger sur les chances réelles de l'intimé de trouver un emploi en tenant compte de ses limitations fonctionnelles (cf. sur ce point les arrêts 4A_574/2014 du 15 janvier 2015 consid. 4.1; 4A_529/2012 du 31 janvier 2013 consid. 2.4).</w:t>
      </w:r>
    </w:p>
    <w:p>
      <w:r>
        <w:rPr>
          <w:b/>
        </w:rPr>
        <w:t>E. 3</w:t>
      </w:r>
    </w:p>
    <w:p>
      <w:r>
        <w:t>Au vu de ce qui précède, le recours doit être rejeté. La recourante sera condamnée à payer les frais de la procédure fédérale ( art. 66 al. 1 LTF ) et à verser à l'intimé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