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228/2016 vom 16. Januar 2017</w:t>
      </w:r>
    </w:p>
    <w:p>
      <w:r>
        <w:t>Bundesgericht, 2017-01-16, FR</w:t>
      </w:r>
    </w:p>
    <w:p>
      <w:r>
        <w:rPr>
          <w:b/>
        </w:rPr>
        <w:t xml:space="preserve">Quelle: </w:t>
      </w:r>
      <w:r>
        <w:t>https://mcp.opencaselaw.ch/entscheid/bger_4A_228_2016</w:t>
      </w:r>
    </w:p>
    <w:p>
      <w:r>
        <w:t>FR: TF 4A 228/2016 du 16 janvier 2017</w:t>
      </w:r>
    </w:p>
    <w:p>
      <w:r>
        <w:t>IT: TF 4A 228/2016 del 16 gennaio 2017</w:t>
      </w:r>
    </w:p>
    <w:p>
      <w:pPr>
        <w:pStyle w:val="Heading2"/>
      </w:pPr>
      <w:r>
        <w:t>Regeste</w:t>
      </w:r>
    </w:p>
    <w:p>
      <w:r>
        <w:t>assurance complémentaire à l'assurance-accidents selon la LAA; prescription | Droit des contrats</w:t>
      </w:r>
    </w:p>
    <w:p>
      <w:pPr>
        <w:pStyle w:val="Heading2"/>
      </w:pPr>
      <w:r>
        <w:t>Erwägungen</w:t>
      </w:r>
    </w:p>
    <w:p>
      <w:r>
        <w:rPr>
          <w:b/>
        </w:rPr>
        <w:t>E. 1</w:t>
      </w:r>
    </w:p>
    <w:p>
      <w:r>
        <w:t>L'assurance-accidents complémentaire à l'assurance LAA, sur laquelle la recourante fonde sa prétention, est soumise à la LCA (RS 221.229.1) (arrêt 4A_644/2014 du 27 avril 2015 consid. 2.2; ROLAND BREHM, L'assurance privée contre les accidents, 2001, n° 673 p. 305). La contestation opposant les parties est dès lors de nature civile ( art. 72 al. 1 LTF ). Le recours est dirigé contre une décision finale ( art. 90 LTF ) rendue par un tribunal supérieur désigné comme autorité cantonale de dernière instance, lequel a statué sur recours ( art. 75 LTF ). La cause atteint la valeur litigieuse de 30'000 fr. ouvrant le recours en matière civile dans les affaires ne relevant ni du droit du travail ni du droit du bail à loyer ( art. 74 al. 1 let. b LTF ). Au surplus, le recours est exercé par la partie qui a succombé dans ses conclusions condamnatoires et qui a donc qualité pour recourir ( art. 76 al. 1 LTF ); il a été déposé dans le délai ( art. 46 al. 1 let. a et art. 100 al. 1 LTF ) et la forme ( art. 42 LTF ) prévus par la loi.</w:t>
      </w:r>
    </w:p>
    <w:p>
      <w:r>
        <w:rPr>
          <w:b/>
        </w:rPr>
        <w:t>E. 2</w:t>
      </w:r>
    </w:p>
    <w:p>
      <w:r>
        <w:t>Invoquant le principe de la fidélité contractuelle, le recourant reproche à la cour cantonale d'avoir violé le droit fédéral en admettant l'exception de prescription soulevée par l'intimée. Il souligne que, selon les CGA, le taux d'invalidité retenu dans l'assurance sociale s'applique également dans l'assurance privée. Ainsi, en décidant de mettre en oeuvre une troisième expertise médicale en mars 2011, puis en reconsidérant sa décision rendue sur la base de la LAA, l'intimée se serait engagée à revoir également les prestations dues en vertu du contrat d'assurance, indépendamment d'une éventuelle prescription de celles-ci. A titre subsidiaire, le recourant est d'avis que l'assureur commet un abus de droit. Opposer la prescription aux prétentions déduites du contrat d'assurance serait en parfaite contradiction avec l'attitude de l'intimée depuis mars 2011, laquelle se serait déclarée prête à reconsidérer sa position selon le résultat de la troisième expertise, sans émettre aucune réserve ni distinction entre les prestations de l'assurance obligatoire LAA et celles de l'assurance complémentaire.</w:t>
      </w:r>
    </w:p>
    <w:p>
      <w:r>
        <w:rPr>
          <w:b/>
        </w:rPr>
        <w:t>E. 2.1</w:t>
      </w:r>
    </w:p>
    <w:p>
      <w:r>
        <w:t>Aux termes de l' art. 46 al. 1 LCA , les créances qui dérivent du contrat d'assurance se prescrivent par deux ans à dater du fait d'où naît l'obligation. Cette dernière notion ne se confond pas nécessairement avec la survenance du sinistre, même s'il s'agit de la cause première de l'obligation d'indemnisation. Selon le type d'assurance envisagée, la prestation de l'assureur n'est due que si le sinistre engendre un autre fait précis. Ainsi, en matière d'assurance-accidents, le contrat peut prévoir une couverture en cas d'invalidité; ce n'est alors pas l'accident comme tel, mais la survenance de l'invalidité qui donne lieu à l'obligation de base ( grundsätzliche Leistungspflicht ) de l'assureur de verser des prestations. Dans ce cas-là, la prescription court donc dès le jour où l'invalidité est acquise ( ATF 139 III 263 consid. 1.2 p. 265 s. et les arrêts cités), à savoir généralement lorsque les mesures thérapeutiques destinées à conjurer le mal ou, du moins, à limiter les effets de l'atteinte dommageable ont échoué ( ATF 118 II 447 consid. 2b p. 454 s.; arrêt précité du 27 avril 2015 consid. 2.3). Il n'est pas nécessaire que le taux d'invalidité soit fixé définitivement; c'est l'invalidité dans son principe, et non dans son ampleur, qui doit être acquise, sauf si le contrat d'assurance prévoit, par exemple, qu'un taux minimal d'invalidité doit être atteint pour que le cas d'assurance soit réalisé (arrêt précité du 27 avril 2015 consid. 2.3; arrêt 5C.61/2003 du 23 octobre 2003 consid. 3.5; CHRISTOPH K. GRABER, Basler Kommentar, Versicherungsvertragsgesetz, Nachführungsband, 2012, n° 6 à 18 ad art. 46 CO p. 163). Peu importe enfin le moment où l'assuré a eu connaissance de son invalidité, le point de départ du délai de prescription de l' art. 46 al. 1 CO étant fixé de manière objective ( ATF 139 III 263 consid. 1.2 p. 266; 118 II 447 consid. 2b p. 455). Au surplus, la LCA renvoie au code des obligations pour toutes les questions qu'elle ne règle pas ( art. 100 al. 1 LCA ).</w:t>
      </w:r>
    </w:p>
    <w:p>
      <w:r>
        <w:rPr>
          <w:b/>
        </w:rPr>
        <w:t>E. 2.2</w:t>
      </w:r>
    </w:p>
    <w:p>
      <w:r>
        <w:t>La cour cantonale a retenu comme point de départ du délai de prescription le 10 juillet 2006, date du premier rapport du premier expert chargé de se prononcer notamment sur une invalidité médico-théorique à indemniser selon les CGA. Dans ce document, l'expert a constaté une invalidité permanente au niveau de la hanche et de l'épaule - évaluée à un taux global de 7% - et relevé un début de coxarthrose de la hanche, susceptible de s'aggraver. Comme la cour cantonale l'a bien vu, une invalidité présumée permanente, selon les termes de l'art. 8A CGA, était alors acquise, quand bien même son ampleur pouvait encore augmenter en raison du début de coxarthrose; l'obligation d'indemniser de l'assureur a donc pris naissance à ce moment-là. Par la suite, le délai de prescription a été interrompu à trois reprises par l'intimée ( art. 135 ch. 1 CO ), qui a formulé une déclaration d'indemnisation le 28 novembre 2006, l'a confirmée le 30 juin 2008, puis l'a renvoyée au recourant le 26 novembre 2008. Après cette dernière date, aucun acte interruptif n'est intervenu de sorte que la prétention déduite du contrat d'assurance était prescrite en mars 2011, lorsque l'intimée a décidé de mettre en oeuvre une troisième expertise.</w:t>
      </w:r>
    </w:p>
    <w:p>
      <w:r>
        <w:rPr>
          <w:b/>
        </w:rPr>
        <w:t>E. 2.3</w:t>
      </w:r>
    </w:p>
    <w:p>
      <w:r>
        <w:t>Sous l'angle de l'abus de droit, l'attitude du débiteur après l'écoulement du délai de prescription est sans importance, puisqu'elle ne saurait désormais empêcher le créancier d'agir à temps ( ATF 113 II 264 consid. 2e p. 269; arrêt 4A_97/2014 du 26 juin 2014 consid. 7.3). La seule question qui se pose est de savoir si le comportement de l'assureur, à partir de mars 2011, peut être interprété comme une renonciation à invoquer la prescription et une reconnaissance sans réserve d'une partie au moins de la prétention déduite du contrat d'assurance (cf. ATF 113 II 264 consid. 2e p. 269). Contrairement à ce que le recourant prétend, aucun élément constaté dans l'arrêt attaqué ne plaide dans ce sens. En mars 2011, l'intimée a proposé une troisième expertise après des examens et rapports médicaux établis en 2009 et 2010, qui mettaient en évidence une aggravation des séquelles de l'accident imposant une intervention orthopédique à plus ou moins long terme. Cette mesure se justifiait pleinement dans le cadre de l'assurance-accidents obligatoire, dès lors que, par décision du 30 juin 2008, l'intimée avait alloué au recourant une indemnité pour atteinte à l'intégrité tout en réservant notamment les séquelles tardives. Le seul fait que les CGA se réfèrent au taux d'invalidité applicable dans l'assurance LAA n'implique nullement que, une fois la prétention contractuelle prescrite, l'assureur privé, qui est également l'assureur LAA, accepte implicitement de reconnaître sans condition sa dette calculée sur la base du nouveau taux et de renoncer par là-même à l'exception de prescription. L'absence de précision ou de réserve de la part de l'intimée lors de la mise en oeuvre de la troisième expertise ne saurait de bonne foi être interprétée comme une telle renonciation. A cet égard, la situation est bien différente de celle qui se serait présentée si le recourant avait interrompu la prescription avant novembre 2010 ou avait signé la déclaration d'indemnisation établie dans le cadre de l'assurance complémentaire, laquelle comportait la même réserve que celle formulée dans la décision fondée sur la LAA. Il s'ensuit que la cour cantonale n'a pas violé le droit fédéral en admettant l'exception de prescription soulevée par l'intimée.</w:t>
      </w:r>
    </w:p>
    <w:p>
      <w:r>
        <w:rPr>
          <w:b/>
        </w:rPr>
        <w:t>E. 3</w:t>
      </w:r>
    </w:p>
    <w:p>
      <w:r>
        <w:t>Sur le vu de ce qui précède, le recours doit être rejeté. Le recourant, qui succombe, prendra à sa charge les frais judiciaires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