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4A_228/2015 vom 29. September 2015</w:t>
      </w:r>
    </w:p>
    <w:p>
      <w:r>
        <w:t>Bundesgericht, 2015-09-29, FR</w:t>
      </w:r>
    </w:p>
    <w:p>
      <w:r>
        <w:rPr>
          <w:b/>
        </w:rPr>
        <w:t xml:space="preserve">Quelle: </w:t>
      </w:r>
      <w:r>
        <w:t>https://mcp.opencaselaw.ch/entscheid/bger_4A_228_2015</w:t>
      </w:r>
    </w:p>
    <w:p>
      <w:r>
        <w:t>FR: TF 4A_228/2015 du 29 septembre 2015</w:t>
      </w:r>
    </w:p>
    <w:p>
      <w:r>
        <w:t>IT: TF 4A_228/2015 del 29 settembre 2015</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249 consid. 1.4.1 p. 254).</w:t>
      </w:r>
    </w:p>
    <w:p>
      <w:r>
        <w:t>Le tribunal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140 III 264 consid. 2.3 p. 266; 137 I 58 consid. 4.1.2 p. 62; 133 II 249 consid. 1.1.2 p. 252). La partie recourante est autorisée à attaquer des constatations de fait ainsi irrégulières si la correction du vice est susceptible d'influer sur le sort de la cause ( art. 97 al. 1 LTF ).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140 III 264 consid. 2.3 p. 266; 137 I 58 consid. 4.1.2 p. 62).</w:t>
      </w:r>
    </w:p>
    <w:p>
      <w:r>
        <w:rPr>
          <w:b/>
        </w:rPr>
        <w:t>E. 3</w:t>
      </w:r>
    </w:p>
    <w:p>
      <w:r>
        <w:t>Selon la défenderesse, déjà avant l'événement du 24 octobre 2012, le demandeur a été surpris alors qu'il volait une bouteille de bière, et averti qu'un pareil comportement, s'il venait à se répéter, entraînerait son licenciement. La Cour de justice a refusé de constater cet avertissement au motif qu'à la différence des autres admonitions reçues par le demandeur, il n'en a été établi aucun rapport écrit et signé par ce dernier.</w:t>
      </w:r>
    </w:p>
    <w:p>
      <w:r>
        <w:t>Le vol d'une bouteille de bière, avec l'avertissement oral qui l'a suivi, ont été rapportés par l'un des témoins que le Tribunal des prud'hommes a interrogés. Ainsi, la Cour a implicitement considéré ce témoignage comme insuffisant. Sur un autre fait, soit le vol ultérieur de la bouteille de vin, les dires du même témoin ont été jugés suffisants et concluants parce qu'un autre témoignage leur apportait une confirmation. La Cour a ainsi apprécié les déclarations du premier témoin de manière différenciée selon qu'elles étaient ou n'étaient pas confirmées par une autre preuve. Cette manière d'apprécier un témoignage peut prêter à discussion; néanmoins, en dépit de l'opinion contraire de la défenderesse, elle échappe au grief d'arbitraire. Le Tribunal fédéral n'a donc pas lieu de compléter les constatations de l'arrêt attaqué.</w:t>
      </w:r>
    </w:p>
    <w:p>
      <w:r>
        <w:rPr>
          <w:b/>
        </w:rPr>
        <w:t>E. 4</w:t>
      </w:r>
    </w:p>
    <w:p>
      <w:r>
        <w:t>Il est constant que les parties se sont liées par un contrat de travail et que celui-ci était conclu pour une durée indéterminée. Ledit contrat était donc susceptible d'une résiliation ordinaire avec observation d'un délai de congé, selon l' art. 335c CO , ou d'une résiliation immédiate pour de justes motifs, selon les art. 337 et 337a CO .</w:t>
      </w:r>
    </w:p>
    <w:p>
      <w:r>
        <w:t>L' art. 337 al. 1 CO consacre le droit de résilier sans délai pour de justes motifs. 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 ATF 130 III 28 consid. 4.1 p. 31; 129 III 380 consid. 2.2 p. 382).</w:t>
      </w:r>
    </w:p>
    <w:p>
      <w:r>
        <w:t>Le juge apprécie librement, au regard des principes du droit et de l'équité déterminants selon l' art. 4 CC , si le congé abrupt répond à de justes motifs ( art. 337 al. 3 CO ). A cette fin, il prend en considération tous les éléments du cas particulier, notamment la position du travailleur, la nature et la durée des rapports contractuels, et la nature et l'importance des manquements ( ATF 130 III 28 consid. 4.1 p. 32; 127 III 351 consid. 4a p. 354). 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p. 254; 136 III 278 consid. 2.2.1 p. 279; 135 III 121 consid. 2 p. 123).</w:t>
      </w:r>
    </w:p>
    <w:p>
      <w:r>
        <w:t>En cas de résiliation immédiate et injustifiée du contrat, le travailleur peut réclamer ce qu'il aurait gagné si les rapports de travail avaient pris fin à l'expiration du délai de congé ( art. 337c al. 1 CO ); le juge peut en outre lui allouer une indemnité dont il fixe librement le montant, en tenant compte de toutes les circonstances mais sans excéder six mois de salaire ( art. 337c al. 3 CO ).</w:t>
      </w:r>
    </w:p>
    <w:p>
      <w:r>
        <w:rPr>
          <w:b/>
        </w:rPr>
        <w:t>E. 5</w:t>
      </w:r>
    </w:p>
    <w:p>
      <w:r>
        <w:t>Les infractions que le travailleur perpètre à l'occasion de son travail, telles qu'un vol commis au préjudice de l'employeur, d'autres collaborateurs ou de clients, constituent des motifs classiques de résiliation immédiate (Rémy Wyler et Boris Heinzer, Droit du travail, 3e éd., 2014, p. 579; Franck Vischer, Der Arbeitsvertrag, in Schweizerisches Privatrecht, 4e éd., 2014, p. 346 n° 158; Ullin Streiff et al., Arbeitsvertrag, 7e éd., 2012, p. 1101, n° 5 ad art. 337 CO ; cf. ATF 130 III 28 consid. 4.2 et 4.3 p. 32). Néanmoins, et comme pour d'autres motifs de licenciement abrupt, cette mesure extrême suppose que la continuation des rapports de travail soit inexigible de l'employeur (Vischer, ibid.; Streiff et al., ibid.).</w:t>
      </w:r>
    </w:p>
    <w:p>
      <w:r>
        <w:t>En l'espèce, la Cour de justice ne reconnaît pas un juste motif de licenciement abrupt du demandeur. Elle fonde son appréciation sur la « faible valeur » de la bouteille de vin volée par celui-ci et sur la longue collaboration des parties, exempte d'incidents du même genre.</w:t>
      </w:r>
    </w:p>
    <w:p>
      <w:r>
        <w:t>La « faible valeur » de la bouteille est implicitement admise, faute de contestation, et la défenderesse n'est pas parvenue à apporter la preuve d'un précédent vol.</w:t>
      </w:r>
    </w:p>
    <w:p>
      <w:r>
        <w:t>Avec raison, néanmoins, cette partie fait valoir que la valeur de la chose volée par le travailleur n'est pas un élément d'appréciation pertinent au regard de l' art. 337 CO , cela parce que même le vol d'une chose peu importante (Streiff et al., op. cit., p. 1102 i.f.) est de nature à détruire le rapport de confiance nécessaire aux relations de travail. La durée de l'emploi du travailleur avant un pareil événement, même longue, n'y change rien. Il s'ensuit que la défenderesse est fondée à se plaindre d'une décision incompatible avec cette disposition. Le demandeur invoque vainement, dans sa réponse au recours, un précédent où le vol d'une marchandise valant près de 60 fr. a été jugé insuffisamment grave par un tribunal du premier degré (JAR 2005 p. 496 et ss). Le demandeur invoque aussi inutilement le pouvoir d'appréciation reconnu à la juridiction cantonale, parce que, précisément, la Cour de justice en a méconnu les limites.</w:t>
      </w:r>
    </w:p>
    <w:p>
      <w:r>
        <w:rPr>
          <w:b/>
        </w:rPr>
        <w:t>E. 6</w:t>
      </w:r>
    </w:p>
    <w:p>
      <w:r>
        <w:t>La véridicité et la pertinence du motif de résiliation immédiate sont ainsi établies, de sorte que le demandeur n'a pas droit aux prestations en argent prévues par l' art. 337c al. 1 et 3 CO . Ce plaideur ne met pas en doute que dans cette situation, le certificat de travail établi par son employeuse puisse valablement, au regard de la jurisprudence relative à l' art. 330a al. 1 CO ( ATF 136 III 510 consid. 4.1 p. 511), mentionner « un comportement propre à rompre la confiance qu'implique les rapports de travail ». Ce point n'étant pas litigieux, le recours en matière civile doit être intégralement admis, selon les conclusions de la défenderesse.</w:t>
      </w:r>
    </w:p>
    <w:p>
      <w:r>
        <w:rPr>
          <w:b/>
        </w:rPr>
        <w:t>E. 7</w:t>
      </w:r>
    </w:p>
    <w:p>
      <w:r>
        <w:t>A titre de partie qui succombe, le demandeur doit acquitter l'émolument à percevoir par le Tribunal fédéral et les dépens auxquels l'autre partie peut prétendre.</w:t>
      </w:r>
    </w:p>
    <w:p>
      <w:r>
        <w:t>En application du droit cantonal, les autorités précédentes n'ont pas prélevé de frais judiciaires ni alloué de dépens; une nouvelle décision de la Cour de justice n'est donc pas nécessaire sur ces points.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