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4A_228/2012 vom 28. August 2012</w:t>
      </w:r>
    </w:p>
    <w:p>
      <w:r>
        <w:t>Bundesgericht, 2012-08-28, FR</w:t>
      </w:r>
    </w:p>
    <w:p>
      <w:r>
        <w:rPr>
          <w:b/>
        </w:rPr>
        <w:t xml:space="preserve">Quelle: </w:t>
      </w:r>
      <w:r>
        <w:t>https://mcp.opencaselaw.ch/entscheid/bger_4A_228_2012</w:t>
      </w:r>
    </w:p>
    <w:p>
      <w:r>
        <w:t>FR: TF 4A_228/2012 du 28 août 2012</w:t>
      </w:r>
    </w:p>
    <w:p>
      <w:r>
        <w:t>IT: TF 4A_228/2012 del 28 agosto 2012</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la forme requise ( art. 42 LTF ) et en temps utile compte tenu de la suspension des délais à Pâques (art. 46 al. 1 let. a, 48 al. 1 et 100 al. 1 LTF).</w:t>
      </w:r>
    </w:p>
    <w:p>
      <w:r>
        <w:t>Il convient de rappeler à ce sujet que les assurances complémentaires au sens de l'art. 12 al. 2 de la loi fédérale du 18 mars 1994 sur l'assurance-maladie (LAMal; RS 832.10) relèvent de la loi fédérale du 2 avril 1908 sur le contrat d'assurance (LCA; RS 221.229.1), de sorte qu'elles donnent lieu à une contestation civile ( ATF 133 III 439 consid. 2.1 p. 441 s.).</w:t>
      </w:r>
    </w:p>
    <w:p>
      <w:r>
        <w:t>Il résulte du déroulement de la procédure cantonale que le canton de Vaud, au moins à la période déterminante, n'a pas fait usage de la faculté offerte par l' art. 7 CPC d'instituer un tribunal statuant en instance cantonale unique pour ce type de litige. Dès lors que la cause a été examinée par deux instances cantonales successives, elle ne saurait être dispensée de l'exigence d'une valeur litigieuse minimale, puisque l' art. 74 al. 2 let. b LTF ne s'applique que lorsqu'une instance unique est prévue. En l'espèce, la valeur litigieuse atteint le seuil de 30'000 fr. fixé à l' art. 74 al. 1 let. b LTF .</w:t>
      </w:r>
    </w:p>
    <w:p>
      <w:r>
        <w:rPr>
          <w:b/>
        </w:rPr>
        <w:t>E. 1.2</w:t>
      </w:r>
    </w:p>
    <w:p>
      <w:r>
        <w:t>Le recours peut être interjeté pour violation du droit, tel qu'il est délimité par les art. 95 et 96 LTF . Il peut donc être formé pour violation des diverses dispositions de droit fédéral invoquées par le recourant ( art. 95 let. a LTF ).</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présenter une motivation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ne tente pas de démontrer qu'une constatation de fait serait arbitraire, de sorte qu'il faut s'en tenir aux constatations contenues dans l'arrêt attaqué ( art. 105 al. 1 LTF ). Il faut toutefois observer que l'état de fait cantonal est plutôt chaotique. Alors que certaines constatations sont contenues dans la partie en fait, d'autres - sans que l'on comprenne pourquoi - se trouvent dans la partie en droit. Par ailleurs, certaines données, non contestées et ressortant à l'évidence du dossier, n'y figurent pas, alors qu'elles sont nécessaires pour la compréhension du litige; le Tribunal fédéral a procédé ci-dessus au complètement d'office en application de l' art. 105 al. 2 LTF .</w:t>
      </w:r>
    </w:p>
    <w:p>
      <w:r>
        <w:rPr>
          <w:b/>
        </w:rPr>
        <w:t>E. 1.4</w:t>
      </w:r>
    </w:p>
    <w:p>
      <w:r>
        <w:t>Le Tribunal fédéral ne peut aller au-delà des conclusions des parties ( art. 107 al. 1 LTF ). Toute conclusion nouvelle est irrecevable ( art. 99 al. 1 LTF ).</w:t>
      </w:r>
    </w:p>
    <w:p>
      <w:r>
        <w:rPr>
          <w:b/>
        </w:rPr>
        <w:t>E. 2.1</w:t>
      </w:r>
    </w:p>
    <w:p>
      <w:r>
        <w:t>Le recourant reproche à la cour cantonale de ne pas avoir procédé à l'audition des deux médecins qu'il avait cités comme témoins.</w:t>
      </w:r>
    </w:p>
    <w:p>
      <w:r>
        <w:t>L'autorité précédente a considéré qu'elle n'avait pas à procéder à ces auditions parce que le recourant, en faisant preuve de la diligence requise, aurait pu faire valoir ces moyens de preuve durant la procédure de première instance, s'agissant d'établir des faits qui ne sont pas nouveaux ( art. 317 al. 1 let. b CPC ).</w:t>
      </w:r>
    </w:p>
    <w:p>
      <w:r>
        <w:t>Le recourant ne conteste pas que les conditions de l' art. 317 al. 1 CPC n'étaient pas réunies, de sorte qu'il n'y a pas lieu de revenir sur cette question.</w:t>
      </w:r>
    </w:p>
    <w:p>
      <w:r>
        <w:t>Il fait cependant valoir que les litiges portant sur des assurances complémentaires à l'assurance-maladie sociale sont soumis à la procédure simplifiée ( art. 243 al. 2 let . f CPC). Il en résulte que le tribunal établit les faits d'office ( art. 247 al. 2 let. a CPC ). Il s'agit donc d'un cas où une disposition spéciale instaure la maxime inquisitoire, en lieu et place de la maxime des débats ( art. 55 al. 2 CPC ).</w:t>
      </w:r>
    </w:p>
    <w:p>
      <w:r>
        <w:t>Le recourant soutient qu'il faut appliquer par analogie l' art. 229 al. 3 CPC - en principe destiné à la procédure de première instance - qui prescrit que lorsque le juge doit établir les faits d'office, il admet des faits et moyens de preuve nouveaux jusqu'aux délibérations.</w:t>
      </w:r>
    </w:p>
    <w:p>
      <w:r>
        <w:rPr>
          <w:b/>
        </w:rPr>
        <w:t>E. 2.2</w:t>
      </w:r>
    </w:p>
    <w:p>
      <w:r>
        <w:t>Plusieurs auteurs soutiennent effectivement qu'il faut, en procédure d'appel, appliquer par analogie la règle de l' art. 229 al. 3 CPC lorsque le juge doit établir les faits d'office (KARL SPÜHLER, in Basler Kommentar, Schweizerische Zivilprozessordnung, 2010, n° 7 ad art. 317 CPC ; PETER VOLKART, in Schweizerische Zivilprozessordnung - Kommentar, Brunner/Gasser/Schwander (éd.), 2011, n° 17 ad art. 317 CPC ; ALEXANDER BRUNNER, in Kurzkommentar, Schweizerische Zivilprozessordnung, Paul Oberhammer (éd.), 2010, n° 8 ad art. 317 CPC ; THOMAS SUTTER-SOMM, Schweizerisches Zivilprozessrecht, 2e éd. 2012, § 17 n° 1372 p. 346; GASSER/RICKLI, Schweizerische Zivilprozessordnung, Kurzkommentar, 2010, n° 4 ad art. 317 CPC ; HOFMANN/LÜSCHER, Le code de procédure civile, Berne 2009, p. 197; REETZ/HILBER, in Kommentar zur Schweizerischen Zivilprozessordnung, Sutter-Somm/Hasenböhler/Leuenberger (éd.), 2010, n°s 14 et 16 ad art. 317 CPC ; pour une application atténuée de l' art. 317 al. 1 CPC : NICOLAS JEANDIN, in Code de procédure civile commenté, Bohnet et al. (éd.), 2011, n° 4 ad art. 317 CPC ).</w:t>
      </w:r>
    </w:p>
    <w:p>
      <w:r>
        <w:t>En revanche, quelques auteurs soutiennent le contraire (DENIS TAPPY, in Code de procédure civile commenté, Bohnet et al. (éd.), 2011, n° 31 ad art. 229 CPC ; du même auteur, Les voies de droit du nouveau code de procédure civile, in JT 2010 III p. 115 ss, soit plus précisément p. 139; FABIENNE HOHL, Procédure civile, tome II, 2e éd. 2010, n. 2410 p. 437; dans le même sens, mais seulement sous l'angle de l'arbitraire parce qu'il s'agissait de mesures provisionnelles: arrêts 5A_592/2011 du 31 janvier 2012 consid. 4.1; 5A_402/2011 du 5 décembre 2011 consid. 4.1 et 4.2).</w:t>
      </w:r>
    </w:p>
    <w:p>
      <w:r>
        <w:t>Une majorité semble donc se dessiner en faveur d'une application analogique. Il faut cependant constater que l'opinion de ces auteurs est souvent peu motivée ou repose sur le Message du Conseil fédéral, tandis que l'avis minoritaire procède d'un examen plus approfondi.</w:t>
      </w:r>
    </w:p>
    <w:p>
      <w:r>
        <w:t>Le Message du Conseil fédéral du 28 juin 2006 relatif au code de procédure civile suisse prévoit une application analogique (FF 2006 6982 ch. 5.23.1). On ne peut cependant rien déduire de cette affirmation, puisqu'elle venait à l'appui de l'art. 314 al. 1 du projet du Conseil fédéral (FF 2006 p. 7092) qui prévoyait d'appliquer par analogie, en appel, l'art. 225 al. 2 et 3 du projet; cette dernière disposition correspond précisément à l'art. 229 al. 3 du texte actuel (cf. FF 2006 p. 7068). La formulation de l'actuel art. 317 al. 1 CPC émane de la Commission juridique du Conseil des Etats qui ne voulait pas de renvoi à la procédure de première instance (procès-verbal de la séance des 26/27 mars 2007 p. 27 et procès-verbal de la séance du 4 mai 2007 p. 6). Elle a été adoptée en séance plénière du Conseil des Etats (BO CE 2007 p. 638), puis, à une courte majorité et après débats, par le Conseil national (BO CN 2008 p. 1633 et 1634), lequel s'est écarté, par souci de célérité, de la proposition de sa commission qui souhaitait permettre de reprendre, en appel, la procédure comme en première instance.</w:t>
      </w:r>
    </w:p>
    <w:p>
      <w:r>
        <w:t>On ne discerne aucune trace d'une volonté du législateur de faire une exception pour les cas où le juge établit les faits d'office. Il faut en tout cas constater que le texte adopté ne contient plus le renvoi à la règle de l' art. 229 al. 3 CPC qui figurait dans le projet du Conseil fédéral et on doit supposer que le nouveau texte a été examiné avec soin puisqu'il a fait l'objet d'une discussion nourrie en séance plénière du Conseil national.</w:t>
      </w:r>
    </w:p>
    <w:p>
      <w:r>
        <w:t>Si on lit l' art. 317 al. 1 CPC , on comprend qu'il régit de manière complète et autonome la possibilité pour les parties d'invoquer des faits et moyens de preuve nouveaux. Il résulte clairement de la systématique de la loi que l' art. 229 al. 3 CPC ne s'applique qu'à la procédure de première instance. L' 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w:t>
      </w:r>
    </w:p>
    <w:p>
      <w:r>
        <w:t>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 art. 229 al. 3 CPC et, en appel, par l' art. 317 al. 1 CPC .</w:t>
      </w:r>
    </w:p>
    <w:p>
      <w:r>
        <w:t>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w:t>
      </w:r>
    </w:p>
    <w:p>
      <w:r>
        <w:t>On ne constate donc aucune violation de l' art. 317 al. 1 CPC , ni des autres dispositions du CPC invoquées par le recourant.</w:t>
      </w:r>
    </w:p>
    <w:p>
      <w:r>
        <w:rPr>
          <w:b/>
        </w:rPr>
        <w:t>E. 2.3</w:t>
      </w:r>
    </w:p>
    <w:p>
      <w:r>
        <w:t>Quoi qu'il en soit, le juge n'est jamais obligé d'ordonner toutes les mesures probatoires sollicitées par les parties. Il peut toujours refuser d'administrer une preuve inutile. Le droit de procédure détermine dans quel délai et sous quelles formes les parties peuvent proposer des mesures probatoires. Il ne règle pas quelles sont les mesures que le juge doit effectivement ordonner.</w:t>
      </w:r>
    </w:p>
    <w:p>
      <w:r>
        <w:t>En cas de refus d'administrer une preuve, une partie ne peut s'en plaindre qu'en invoquant une violation de son droit à la preuve. Or, le droit à la preuve est régi, dans le domaine du droit privé, par l' art. 8 CC , en tant que disposition spéciale par rapport à l' art. 29 al. 2 Cst. (arrêt 5A_726/2009 du 30 avril 2010 consid. 3.1 non publié in ATF 136 III 365 ; arrêt 5A_620/2007 du 7 janvier 2010 consid. 6.1 publié in SJ 2010 I p. 568).</w:t>
      </w:r>
    </w:p>
    <w:p>
      <w:r>
        <w:t>Pour qu'il y ait violation du droit à la preuve, il faut que le recourant veuille prouver un fait pertinent, que la mesure probatoire sollicitée ait été régulièrement offerte, qu'elle soit propre à apporter la preuve et que le fait ne soit pas déjà prouvé ou qu'il ne soit pas déjà admis ou écarté à la suite d'une appréciation anticipée des preuves qui ne peut pas être taxée d'arbitraire ( ATF 129 III 18 consid. 2.6 p. 24 s. et les arrêts cités). Ainsi, le juge peut renoncer à administrer une preuve lorsque sa conviction est déjà formée sur la base des éléments apportés et qu'il peut admettre sans arbitraire qu'elle ne pourrait pas être ébranlée par le résultat de la mesure probatoire sollicitée ( ATF 134 I 140 consid. 5.3 p. 148).</w:t>
      </w:r>
    </w:p>
    <w:p>
      <w:r>
        <w:t>En l'espèce, le premier médecin cité a rédigé un rapport dans lequel il déclare qu'il ne connaît rien du séjour de l'assurée pendant la période litigieuse. On ne voit pas pourquoi il changerait d'attitude et comment il pourrait, dans ces conditions, apporter des renseignements utiles sur les points pertinents. Le recourant ne tente d'ailleurs pas de rendre vraisemblable le contraire. Dès lors, le refus de cette audition, qui apparaît inutile, ne viole pas le droit à la preuve du recourant. Quant au second médecin cité, le recourant n'explique pas quel fait pertinent sa déposition permettrait d'établir. On ne peut pas imaginer qu'il ait une meilleure connaissance du cas que le médecin-traitant. On ne peut pas supposer non plus qu'il ait prodigué des soins qui n'auraient pas été facturés à l'assureur, puisqu'il relève de l'expérience générale de la vie que les soins médicaux prodigués à titre professionnel ne sont pas gratuits. Comme l'utilité de cette audition n'apparaît pas, son refus ne viole pas le droit à la preuve du recourant.</w:t>
      </w:r>
    </w:p>
    <w:p>
      <w:r>
        <w:t>Ainsi, le refus d'entendre ces deux témoins ne viole pas, sous cet angle également, le droit fédéral.</w:t>
      </w:r>
    </w:p>
    <w:p>
      <w:r>
        <w:rPr>
          <w:b/>
        </w:rPr>
        <w:t>E. 3.1</w:t>
      </w:r>
    </w:p>
    <w:p>
      <w:r>
        <w:t>Invoquant une violation de l' art. 33 LCA , le recourant se plaint de la manière dont les dispositions contractuelles, en particulier les conditions générales d'assurance, ont été interprétées.</w:t>
      </w:r>
    </w:p>
    <w:p>
      <w:r>
        <w:rPr>
          <w:b/>
        </w:rPr>
        <w:t>E. 3.2</w:t>
      </w:r>
    </w:p>
    <w:p>
      <w:r>
        <w:t>Les conditions générales d'assurance qui ont été expressément incorporées au contrat doivent être interprétées selon les mêmes principes juridiques que les autres dispositions contractuelles ( ATF 135 III 1 consid. 2 p. 6; 133 III 675 consid. 3.3 p. 681).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(ce qui est le cas en l'espèce)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 art. 106 al. 1 LTF ); cependant, pour trancher cette question, il doit se fonder sur le contenu de la manifestation de volonté et sur les circonstances, dont la constatation relève du fait ( ATF 135 III 410 consid. 3.2 p. 412 s.).</w:t>
      </w:r>
    </w:p>
    <w:p>
      <w:r>
        <w:t>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 ATF 133 III 675 consid. 3.3 p. 682; sous une forme résumée: ATF 135 III 410 consid. 3.2 p. 413).</w:t>
      </w:r>
    </w:p>
    <w:p>
      <w:r>
        <w:rPr>
          <w:b/>
        </w:rPr>
        <w:t>E. 3.3</w:t>
      </w:r>
    </w:p>
    <w:p>
      <w:r>
        <w:t>S'agissant de l'assurance complémentaire "B.________", il résulte clairement du chiffre 4.1.9 des conditions générales que les prestations d'assurance sont exclues pour des séjours justifiés par des soins palliatifs en fin de vie ou pour des mesures de réhabilitation. Le texte est clair en ce sens qu'il mentionne expressément des cas d'exclusion qui peuvent être circonscrits.</w:t>
      </w:r>
    </w:p>
    <w:p>
      <w:r>
        <w:t>Savoir quel était l'état de l'assurée pendant le séjour litigieux est une question de fait que le Tribunal fédéral ne pourrait revoir que dans les conditions strictes de l' art. 105 al. 2 LTF . Le recourant ne prétend pas que les faits aient été établis arbitrairement et on ne voit pas en quoi ils le seraient. En conséquence, le Tribunal fédéral se trouve lié par les constatations cantonales ( art. 105 al. 1 LTF ).</w:t>
      </w:r>
    </w:p>
    <w:p>
      <w:r>
        <w:t>Il résulte de l'état de fait dressé par la cour précédente que l'assurée se trouvait, pendant la période litigieuse, en attente d'être transférée dans un établissement de réadaptation. Il ne ressort pas des constatations cantonales qu'elle subissait des examens en vue de poser un diagnostic ou qu'il lui était administré un traitement curatif pour une maladie aiguë. Il a été retenu au contraire qu'elle ne recevait que des médicaments pour calmer ses douleurs inévitables et suivait une physiothérapie pour conserver autant que possible ses facultés. Admettre dans une telle situation que son séjour à la clinique ne visait plus qu'à des mesures de réadaptation voire à des soins palliatifs est une conclusion qui, sur la base du texte des conditions générales, ne viole pas les règles du droit fédéral sur l'interprétation des manifestations de volonté.</w:t>
      </w:r>
    </w:p>
    <w:p>
      <w:r>
        <w:t>Certes, l'assurée se trouvait dans une situation particulière, puisqu'elle ne pouvait pas rentrer chez elle en raison de son invalidité et ne pouvait pas être placée dans un établissement de réadaptation, faute de place disponible. On peut peut-être regretter, dans ces circonstances, que l'assureur se soit montré rigoureux dans l'application des textes, ce qui a manifestement choqué le médecin-traitant. Dire si un séjour en clinique dans des conditions déterminées constitue ou non un séjour de réadaptation voire de soins palliatifs est une question qui porte sur l'interprétation des termes contenus dans les conditions générales; il s'agit d'une question de droit, et non de science médicale. Au vu des faits qu'elle a retenus, la cour cantonale a interprété les conditions générales d'une manière qui ne viole pas le droit fédéral.</w:t>
      </w:r>
    </w:p>
    <w:p>
      <w:r>
        <w:rPr>
          <w:b/>
        </w:rPr>
        <w:t>E. 4</w:t>
      </w:r>
    </w:p>
    <w:p>
      <w:r>
        <w:t>En ce qui concerne l'assurance complémentaire "A.________", il résulte des constatations cantonales que le chiffre 8.2 des conditions spéciales prévoit que l'assureur prend en charge 80% des frais d'acquisition ou de location des moyens auxiliaires (à concurrence de 500 fr. par année civile au plus) lorsqu'ils sont prescrits par le médecin-traitant.</w:t>
      </w:r>
    </w:p>
    <w:p>
      <w:r>
        <w:t>La cour cantonale a constaté que l'assureur avait pris en charge le 80% des frais de location du fauteuil roulant, soit 240 fr.40 en 2005 et 328 fr. en 2006. En conséquence, il apparaît bien que l'assureur a rempli ses obligations, telles qu'elles résultent des clauses contractuelles, pour ce qui est du fauteuil roulant.</w:t>
      </w:r>
    </w:p>
    <w:p>
      <w:r>
        <w:t>Le litige porte en réalité sur le refus de prendre en charge les frais des autres accessoires orthopédiques. La cour cantonale a cependant constaté que ces moyens n'ont pas été prescrits par le médecin. Le recourant ne prétend pas, en présentant une motivation conforme aux exigences de l' art. 106 al. 2 LTF , que cette constatation serait arbitraire. Dès lors que ces moyens n'ont pas été prescrits par le médecin, il est évident, à lire la clause contractuelle, qu'ils ne donnent pas lieu à un remboursement de la part de l'assureur.</w:t>
      </w:r>
    </w:p>
    <w:p>
      <w:r>
        <w:t>On ne discerne donc à cet égard aucune violation du droit fédéral.</w:t>
      </w:r>
    </w:p>
    <w:p>
      <w:r>
        <w:rPr>
          <w:b/>
        </w:rPr>
        <w:t>E. 5</w:t>
      </w:r>
    </w:p>
    <w:p>
      <w:r>
        <w:t>Il résulte des considérations qui précèdent que le recours doit être entièrement rejeté.</w:t>
      </w:r>
    </w:p>
    <w:p>
      <w:r>
        <w:t>Les frais doivent être mis à la charge de la partie qui succombe ( art. 66 al. 1 LTF ). En revanche, il n'y a pas lieu d'allouer des dépens à l'intimée, puisqu'elle n'a pas recouru aux services d'un avocat et n'invoque aucune dépense particulière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