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4A_227/2024 vom 7. Februar 2025</w:t>
      </w:r>
    </w:p>
    <w:p>
      <w:r>
        <w:t>Bundesgericht, 2025-02-07, FR</w:t>
      </w:r>
    </w:p>
    <w:p>
      <w:r>
        <w:rPr>
          <w:b/>
        </w:rPr>
        <w:t xml:space="preserve">Quelle: </w:t>
      </w:r>
      <w:r>
        <w:t>https://mcp.opencaselaw.ch/entscheid/bger_4A_227_2024</w:t>
      </w:r>
    </w:p>
    <w:p>
      <w:r>
        <w:t>FR: TF 4A_227/2024 du 7 février 2025</w:t>
      </w:r>
    </w:p>
    <w:p>
      <w:r>
        <w:t>IT: TF 4A_227/2024 del 7 febbraio 2025</w:t>
      </w:r>
    </w:p>
    <w:p>
      <w:pPr>
        <w:pStyle w:val="Heading2"/>
      </w:pPr>
      <w:r>
        <w:t>Erwägungen</w:t>
      </w:r>
    </w:p>
    <w:p>
      <w:r>
        <w:rPr>
          <w:b/>
        </w:rPr>
        <w:t>E. 1</w:t>
      </w:r>
    </w:p>
    <w:p>
      <w:r>
        <w:t>Interjeté, dans le délai fixé par la loi (art. 100 al. 1</w:t>
      </w:r>
    </w:p>
    <w:p>
      <w:r>
        <w:t>cum</w:t>
      </w:r>
    </w:p>
    <w:p>
      <w:r>
        <w:t>art. 46 al. 1 let. a LTF ), par le demandeur, qui a succombé dans ses conclusions ( art. 76 al. 1 LTF ), et dirigé contre une décision finale ( art. 90 LTF ) rendue par un tribunal supérieur statuant en dernière instance cantonale ( art. 75 LTF ) dans une affaire de droit du travail ( art. 72 al. 1 LTF ) dont la valeur litigieuse dépasse 15'000 fr. ( art. 74 al. 1 let. a LTF ), le recours en matière civile est en principe recevable. Demeure réservée, à ce stade, la recevabilité des griefs invoqués par le recourant.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142 II 369 consid. 4.3; 140 III 167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Le recourant reproche à la cour cantonale d'avoir violé le droit fédéral en appliquant de manière erronée le principe de la confiance dans le cadre de l'interprétation du contrat de travail et du Statut, ce qui conduirait à un "résultat manifestement injuste et à une iniquité choquante". Il fait également grief à l'instance précédente de ne pas avoir appliqué la règle</w:t>
      </w:r>
    </w:p>
    <w:p>
      <w:r>
        <w:t>in dubio contra stipulatorem .</w:t>
      </w:r>
    </w:p>
    <w:p>
      <w:r>
        <w:rPr>
          <w:b/>
        </w:rPr>
        <w:t>E. 3.1</w:t>
      </w:r>
    </w:p>
    <w:p>
      <w:r>
        <w:t>Les conditions générales sont des clauses standardisées, préformulées par une partie, destinées à régir un grand nombre de relations contractuelles ( ATF 148 III 57 consid. 2; arrêt 4A_372/2022 du 11 juillet 2023 consid. 3.3 et les références citées).</w:t>
      </w:r>
    </w:p>
    <w:p>
      <w:r>
        <w:t>Si les parties sont convenues que des conditions générales feraient partie intégrante de leur contrat, ces conditions générales ne sont applicables que pour autant qu'aucun accord individuel n'y déroge (primauté de l'accord individuel; ATF 148 III 57 consid. 2.1.1; 135 III 225 consid. 1.4; 125 III 263 consid. 4b/bb). Ainsi, en droit du travail, les conditions générales d'engagement se situent à un niveau hiérarchique inférieur à celui du contrat individuel de travail, raison pour laquelle celui-ci prévaut sur celles-là en cas de contradiction (ROGER RUDOLPH, Richterliche Rechtsfindung im Arbeitsrecht, 2021, p. 147 n. 271).</w:t>
      </w:r>
    </w:p>
    <w:p>
      <w:r>
        <w:t>Lorsque des conditions générales ont effectivement été incorporées au contrat, il convient, dans un deuxième temps, d'en déterminer le contenu par interprétation, selon les mêmes principes juridiques que ceux qui président à l'interprétation d'autres dispositions contractuelles ( ATF 148 III 57 consid. 2.2 et 2.2.1; 142 III 671 consid. 3.3; 135 III 1 consid. 2, 410 consid. 3.2; 133 III 675 consid. 3.3).</w:t>
      </w:r>
    </w:p>
    <w:p>
      <w:r>
        <w:t>Il faut ainsi procéder à l'interprétation des manifestations de volonté des parties en deux phases, deux fondements légaux pouvant entrer en jeu, à savoir la réelle et commune intention des parties ( art. 18 al. 1 CO ) et, subsidiairement, le principe de la confiance ( art. 1 al. 1 CO</w:t>
      </w:r>
    </w:p>
    <w:p>
      <w:r>
        <w:t>cum</w:t>
      </w:r>
    </w:p>
    <w:p>
      <w:r>
        <w:t>art. 2 CC ) ( ATF 144 III 93 consid. 5.2.2 et 5.2.3; arrêts 4A_342/2023 du 5 juin 2024 consid. 5.1; 4A_643/2020 du 22 octobre 2021 consid. 4.2).</w:t>
      </w:r>
    </w:p>
    <w:p>
      <w:r>
        <w:t>En premier lieu, le juge doit donc rechercher la réelle et commune intention des parties sans s'arrêter aux expressions ou dénominations inexactes dont elles ont pu se servir. Cette interprétation (dite subjective) relève du fait. Pour y procéder, peuvent et doivent être prises en considération toutes les déclarations et attitudes des parties, ainsi que les circonstances antérieures, concomitantes et postérieures à la conclusion du contrat ( ATF 144 III 93 consid. 5.2.2; arrêts 4A_342/2023 précité consid. 5.1.1; 4A_643/2020 précité consid. 4.2.1).</w:t>
      </w:r>
    </w:p>
    <w:p>
      <w:r>
        <w:t>En second lieu, si le juge ne parvient pas à déterminer la volonté réelle et commune des parties, notamment parce que les preuves font défaut ou ne sont pas concluantes, il doit déterminer le sens que, d'après les règles de la bonne foi, chacune des parties pouvait et devait raisonnablement prêter aux déclarations de volonté de l'autre. Cette interprétation (dite objective) relève du droit. Ne peuvent et ne doivent être prises en considération que les déclarations et attitudes des parties et les circonstances qui ont précédé ou accompagné la manifestation de volonté, à l'exclusion des faits postérieurs ( ATF 144 III 93 consid. 5.2.3; 130 III 417 consid. 3.2; arrêt 4A_643/2020 précité consid. 4.2.2 et 4.2.5 et les références citées).</w:t>
      </w:r>
    </w:p>
    <w:p>
      <w:r>
        <w:t>Lorsque l'interprétation ainsi dégagée laisse subsister un doute sur leur sens, les conditions générales doivent être interprétées en défaveur de leur auteur, conformément à la règle dite des clauses ambiguës (</w:t>
      </w:r>
    </w:p>
    <w:p>
      <w:r>
        <w:t>Unklarheitsregel ;</w:t>
      </w:r>
    </w:p>
    <w:p>
      <w:r>
        <w:t>in dubio contra stipulatorem ) ( ATF 148 III 57 consid. 2.2.2; 146 III 339 consid. 5.2.3 et les références citées).</w:t>
      </w:r>
    </w:p>
    <w:p>
      <w:r>
        <w:rPr>
          <w:b/>
        </w:rPr>
        <w:t>E. 3.2</w:t>
      </w:r>
    </w:p>
    <w:p>
      <w:r>
        <w:t>La cour cantonale a relevé en premier lieu que le Statut s'apparentait à des conditions générales et que les clauses du Statut et celles du contrat de travail concernant la rémunération étaient divergentes s'agissant de l'indemnisation litigieuse.</w:t>
      </w:r>
    </w:p>
    <w:p>
      <w:r>
        <w:t>L'instance précédente a ensuite retenu qu'il n'était pas possible de tirer de conclusions concernant la volonté réelle des parties sur la base des clauses contractuelles et que le dossier ne contenait par ailleurs pas de preuves concernant les déclarations des parties avant ou autour de la conclusion du contrat de travail. Les juges cantonaux ont ainsi estimé que la volonté réelle du travailleur ne pouvait être déterminée avec certitude, de sorte qu'il convenait de faire application du principe de la confiance.</w:t>
      </w:r>
    </w:p>
    <w:p>
      <w:r>
        <w:t>La cour cantonale a considéré à ce stade que le Statut avait valablement été intégré au contrat de travail et qu'il devait être déduit du fait que la mention "le cas échéant", figurant à l'art. 4.2.1 du Statut, précédait directement, et faisait donc sans équivoque référence à, la rémunération litigieuse que l'octroi de celle-ci était conditionnel.</w:t>
      </w:r>
    </w:p>
    <w:p>
      <w:r>
        <w:t>Après avoir envisagé différentes hypothèses, l'instance précédente a estimé que l'on ne pouvait déterminer à quelle condition la rémunération litigieuse était due et qu'il fallait déduire, par élimination, qu'elle n'aurait été due que si elle avait été expressément convenue dans le contrat de travail. Une personne de bonne foi confrontée aux clauses litigieuses ne pouvait, selon les juges cantonaux, comprendre et partir de l'idée que l'intention de son cocontractant était d'octroyer la rémunération du simple fait qu'elle était mentionnée dans le Statut.</w:t>
      </w:r>
    </w:p>
    <w:p>
      <w:r>
        <w:t>Cette issue s'imposait également, d'après la cour cantonale, s'il était procédé à une coordination entre eux du Statut et du contrat de travail, le premier ayant valeur de conditions générales et le second de conditions particulières. En effet, un cocontractant de bonne foi ne pouvait, selon les juges cantonaux, inférer des postes de revenu figurant dans le document contractuel qu'il avait signé que viendrait s'y ajouter une autre rémunération, prévue par un document annexe faisant partie intégrante de son contrat, mais stipulant clairement que cette composante supplémentaire était conditionnelle. Sous cet angle également, l'instance précédente a considéré que la rémunération pour l'absence du cabinet aurait dû figurer expressément dans le contrat de travail.</w:t>
      </w:r>
    </w:p>
    <w:p>
      <w:r>
        <w:t>L'instance précédente a finalement considéré que, dès lors que le sens des clauses litigieuses avait pu être déterminé, il n'y avait pas lieu de faire application du principe</w:t>
      </w:r>
    </w:p>
    <w:p>
      <w:r>
        <w:t>in dubio contra stipulatorem .</w:t>
      </w:r>
    </w:p>
    <w:p>
      <w:r>
        <w:rPr>
          <w:b/>
        </w:rPr>
        <w:t>E. 3.3</w:t>
      </w:r>
    </w:p>
    <w:p>
      <w:r>
        <w:t>Quoique l'arrêt querellé ne se réfère expressément qu'au principe de la confiance, il ressort de l'argumentation des juges cantonaux (cf.</w:t>
      </w:r>
    </w:p>
    <w:p>
      <w:r>
        <w:t>supra consid. 3.2) qu'ils ont par ce biais également abordé le principe de primauté de l'accord individuel (cf.</w:t>
      </w:r>
    </w:p>
    <w:p>
      <w:r>
        <w:t>supra consid. 3.1).</w:t>
      </w:r>
    </w:p>
    <w:p>
      <w:r>
        <w:t>On peut dès lors considérer que le rejet de l'appel du demandeur procède d'une double motivation reposant, d'une part, sur l'interprétation objective du contrat et du Statut mais aussi, d'autre part, sur la priorité qui doit être conférée, en cas de contradiction, au contrat individuel de travail sur les conditions générales d'engagement. En ce cas, il aurait appartenu au recourant de s'attaquer, sous peine d'irrecevabilité, à chacun de ces motifs, du moment qu'ils suffisent, indépendamment l'un de l'autre, à sceller le sort de la cause ( art. 42 al. 2 LTF ; ATF 142 III 364 consid. 2.4; 138 III 728 consid. 3.4; 136 III 534 consid. 2).</w:t>
      </w:r>
    </w:p>
    <w:p>
      <w:r>
        <w:t>Or, le recourant ne remet pas valablement en cause que la coordination entre eux du Statut, en tant que conditions générales, et du contrat de travail, en tant que conditions particulières, excluait que celui-là lui accordât une rémunération qui n'était pas prévue par celui-ci. Tout au plus le recourant se réfère-t-il incidemment à l'arrêt 4A_567/2015 du 21 janvier 2016, sans exposer en quoi la cour cantonale aurait violé les principes qui y ont été exposés, ce qui n'est de toute façon pas conforme aux exigences de l' art. 42 al. 2 LTF et doit conduire à l'irrecevabilité de ce grief.</w:t>
      </w:r>
    </w:p>
    <w:p>
      <w:r>
        <w:t>En outre, même à considérer que son moyen eût été recevable, l'arrêt cité par le recourant ne lui eût été d'aucun secours, dès lors qu'il visait une situation dans laquelle les parties n'étaient pas convenues, contrairement au cas présent, d'un contrat individuel qui aurait pris le pas sur les conditions générales d'engagement (cf. arrêt 4A_567/2015 du 21 janvier 2016 consid. 4.2.1). Le principe de primauté de l'accord individuel ne pouvait ainsi dans le cas d'espèce que conduire au déboutement du recourant.</w:t>
      </w:r>
    </w:p>
    <w:p>
      <w:r>
        <w:t>Étant donné que le recourant n'est pas (valablement) parvenu à démontrer que les étapes préalables à l'application de la règle des clauses ambiguës se seraient avérées infructueuses, la critique relative à une prétendue violation de la maxime</w:t>
      </w:r>
    </w:p>
    <w:p>
      <w:r>
        <w:t>in dubio contra stipulatorem tombe à faux. Au surplus, le recourant ne démontre aucunement, d'une façon qui satisfasse au principe de l'allégation ( art. 106 al. 2 LTF ), que le résultat auquel aboutit l'arrêt querellé serait arbitraire.</w:t>
      </w:r>
    </w:p>
    <w:p>
      <w:r>
        <w:rPr>
          <w:b/>
        </w:rPr>
        <w:t>E. 3.4</w:t>
      </w:r>
    </w:p>
    <w:p>
      <w:r>
        <w:t>Au vu de ce qui précède, le recours sera déclaré irrecevable.</w:t>
      </w:r>
    </w:p>
    <w:p>
      <w:r>
        <w:t>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