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227/2020 vom 28. Januar 2021</w:t>
      </w:r>
    </w:p>
    <w:p>
      <w:r>
        <w:t>Bundesgericht, 2021-01-28, FR</w:t>
      </w:r>
    </w:p>
    <w:p>
      <w:r>
        <w:rPr>
          <w:b/>
        </w:rPr>
        <w:t xml:space="preserve">Quelle: </w:t>
      </w:r>
      <w:r>
        <w:t>https://mcp.opencaselaw.ch/entscheid/bger_4A_227_2020</w:t>
      </w:r>
    </w:p>
    <w:p>
      <w:r>
        <w:t>FR: TF 4A 227/2020 du 28 janvier 2021</w:t>
      </w:r>
    </w:p>
    <w:p>
      <w:r>
        <w:t>IT: TF 4A 227/2020 del 28 gennaio 2021</w:t>
      </w:r>
    </w:p>
    <w:p>
      <w:pPr>
        <w:pStyle w:val="Heading2"/>
      </w:pPr>
      <w:r>
        <w:t>Regeste</w:t>
      </w:r>
    </w:p>
    <w:p>
      <w:r>
        <w:t>pacte d'emption; acompte de réservation clause pénale, au prix du droit d'emption ? | Droit des contrats</w:t>
      </w:r>
    </w:p>
    <w:p>
      <w:pPr>
        <w:pStyle w:val="Heading2"/>
      </w:pPr>
      <w:r>
        <w:t>Erwägungen</w:t>
      </w:r>
    </w:p>
    <w:p>
      <w:r>
        <w:rPr>
          <w:b/>
        </w:rPr>
        <w:t>E. 1</w:t>
      </w:r>
    </w:p>
    <w:p>
      <w:r>
        <w:t>Interjeté dans le délai applicable ( art. 100 al. 1 LTF et art. 1 de l'ordonnance du 20 mars 2020 sur la suspension des délais dans les procédures civiles et administratives pour assurer le maintien de la justice en lien avec le coronavirus (COVID-19) [RS 173.110.4]) et dirigé contre une décision finale ( art. 90 LTF ) rendue sur appel par le tribunal supérieur du canton du Valais ( art. 75 LTF ) dans une affaire civile ( art. 72 al. 1 LTF )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p. 117; 137 I 58 consid. 4.1.2 p. 62; 137 II 353 consid. 5.1 p. 356)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p. 266 et les références citées). La partie qui entend attaquer les faits constatés par l'autorité précédente doit expliquer clairement et de manière circonstanciée en quoi ces conditions seraient réalisées ( ATF 140 III 16 consid. 1.3.1 p. 18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117). Il n'est en revanche pas lié par l'argumentation juridique développée par les parties ou par l'autorité précédente; il peut admettre le recours, comme il peut le rejeter en procédant à une substitution de motifs ( ATF 135 III 397 consid. 1.4 p. 400).</w:t>
      </w:r>
    </w:p>
    <w:p>
      <w:r>
        <w:rPr>
          <w:b/>
        </w:rPr>
        <w:t>E. 2.3</w:t>
      </w:r>
    </w:p>
    <w:p>
      <w:r>
        <w:t>En l'espèce, les recourants font grief au Tribunal cantonal d'avoir procédé à une constatation manifestement inexacte des faits. Ce faisant, les recourants critiquent en réalité, d'une part, la qualification juridique de clause pénale retenue par l'autorité précédente pour la clause litigieuse. D'autre part, ils sollicitent un complètement de l'état de fait en raison de plusieurs témoignages dont il ressort, en substance, que le versement de 7'000'000 fr. constituerait un acompte. Selon eux, ces témoignages contredisent celui du notaire qui seul aurait été retenu par la cour cantonale. Les recourants perdent de vue que l'autorité précédente a retenu plusieurs témoignages dans ses constatations factuelles (cf. supra consid. B.b). De plus, les témoignages invoqués par les recourants ne sont pas décisifs pour l'issue du litige. Le grief est irrecevable.</w:t>
      </w:r>
    </w:p>
    <w:p>
      <w:r>
        <w:rPr>
          <w:b/>
        </w:rPr>
        <w:t>E. 3</w:t>
      </w:r>
    </w:p>
    <w:p>
      <w:r>
        <w:t>Les parties divergent quant à la qualification de la clause selon laquelle l' " acompte réservation " de 7'000'000 fr. reste acquis aux hoirs promettants en cas de non-exercice du droit d'emption. La cour cantonale a admis, par interprétation de la volonté objective des parties, qu'il s'agit d'une peine conventionnelle improprement dite, soumise aux art. 160 ss CO . Les défendeurs recourants soutiennent qu'il s'agit du prix que les parties ont fixé pour le pacte d'emption conclu à titre onéreux, se plaignant d'établissement manifestement inexact des faits ( art. 97 al. 1 LTF et art. 9 Cst. ), de violation du principe de la priorité de l'interprétation subjective du contrat ( art. 1 et 18 CO ) et donc de violation du droit fédéral et, subsidiairement, de mauvaise interprétation de la volonté objective des parties.</w:t>
      </w:r>
    </w:p>
    <w:p>
      <w:r>
        <w:rPr>
          <w:b/>
        </w:rPr>
        <w:t>E. 3.1.1</w:t>
      </w:r>
    </w:p>
    <w:p>
      <w:r>
        <w:t>Prévue à l' art. 160 al. 1 CO , la clause pénale ( Konventionalstrafe ) présente les caractéristiques suivantes: (1) elle sert à assurer l'exécution d'une obligation principale, (2) elle prévoit, en cas d'inexécution ou d'exécution imparfaite de ladite obligation, une peine conventionnelle et (3) elle est soumise à une faute du débiteur (GAUCH/SCHLUEP/SCHMID/EMMENEGGER, Schweizerisches Obligationenrecht Allgemeiner Teil, vol. II, 11e éd. 2020, pp. 370-372 n. 3783-3795). La peine conventionnelle est encourue même si le créancier n'a éprouvé aucun dommage ( art. 161 al. 1 CO ). La clause pénale est improprement dite ( unechte Konventionalstrafe ) lorsqu'elle ne sert pas à assurer l'exécution d'une obligation principale (première condition), mais à exercer une pression sur la partie au bénéfice d'un droit - comme un droit d'emption - pour que celle-ci l'exerce (cf. WIDMER/COSTANTINI/EHRAT, in Basler Kommentar, Obligationenrecht, 7e éd. 2020, no 3 ad art. 160 CO ). Selon la doctrine majoritaire, elle est soumise dans une large mesure aux règles de la clause pénale proprement dite (WIDMER/COSTANTINI/EHRAT, loc. cit. et les références citées; GAUCH/SCHLUEP/SCHMID/EMMENEGGER, op. cit., p. 380 n. 3849; RAMON MABILLARD, Rechtsnatur, anwendbare Gesetzesbestimmungen und Zulässigkeit der unechten Konventionalstrafe, PJA 2005 pp. 552-554), et notamment à l' art. 163 al. 3 CO (MABILLARD, op. cit., p. 554).</w:t>
      </w:r>
    </w:p>
    <w:p>
      <w:r>
        <w:rPr>
          <w:b/>
        </w:rPr>
        <w:t>E. 3.1.2</w:t>
      </w:r>
    </w:p>
    <w:p>
      <w:r>
        <w:t>La concession du droit d'emption peut être effectuée contre rémunération. Le prix du droit d'emption est la rémunération que l'empteur s'engage à payer pour obtenir le droit d'emption lui-même. Il est la contrepartie de l'engagement du promettant à s'abstenir de tout acte qui empêcherait la vente durant la durée du droit d'emption (PAUL-HENRI STEINAUER, Les droits réels, t. II, 5e éd. 2020, p. 171 n. 2392 et p. 175 n. 2407-2408; BÉNÉDICT FOËX, in Commentaire romand, Code des obligations, 2e éd. 2012, no 26 ad art. 216 CO ).</w:t>
      </w:r>
    </w:p>
    <w:p>
      <w:r>
        <w:rPr>
          <w:b/>
        </w:rPr>
        <w:t>E. 3.1.3</w:t>
      </w:r>
    </w:p>
    <w:p>
      <w:r>
        <w:t>La peine conventionnelle due à titre de clause pénale improprement dite et le prix du droit d'emption se distinguent ainsi essentiellement par le fait que la première sert à exercer une pression sur le bénéficiaire du droit d'emption, tandis que le second n'est que la rémunération destinée à dédommager le promettant pour la restriction subie dans ses droits du fait de la concession du droit d'emption et de la durée de ce droit.</w:t>
      </w:r>
    </w:p>
    <w:p>
      <w:r>
        <w:rPr>
          <w:b/>
        </w:rPr>
        <w:t>E. 3.2</w:t>
      </w:r>
    </w:p>
    <w:p>
      <w:r>
        <w:t>Qualifier le montant convenu de peine conventionnelle due à titre de clause pénale improprement dite ou de rémunération du droit d'emption suppose de déterminer la volonté des parties quant à la question de savoir si le montant a été fixé pour exercer une pression sur le bénéficiaire du droit d'emption pour qu'il exerce son droit, ou s'il a été simplement prévu pour dédommager le promettant pour la restriction à ses droits. Autrement dit, il s'agit de déterminer ici si la clause litigieuse doit exercer une pression sur la société bénéficiaire pour qu'elle exerce son droit d'emption ou, au contraire, dédommager les hoirs promettants pour la restriction à leurs droits durant 15 mois.</w:t>
      </w:r>
    </w:p>
    <w:p>
      <w:r>
        <w:rPr>
          <w:b/>
        </w:rPr>
        <w:t>E. 3.2.1</w:t>
      </w:r>
    </w:p>
    <w:p>
      <w:r>
        <w:t>En procédure, le juge doit rechercher, dans un premier temps, la réelle et commune intention des parties (interprétation subjective), le cas échéant empiriquement, sur la base d'indices ( ATF 144 III 93 consid. 5.2.2 p. 98 et les arrêts cités).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 ATF 144 III 93 consid. 5.2.2 p. 98 et les arrêts cités).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p. 99 et les arrêts cités).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 ATF 144 III 93 consid. 5.2.3 p. 99; 130 III 417 consid. 3.2 p. 424 et les arrêts cités). 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et non les événements postérieurs ( ATF 144 III 93 consid. 5.2.3 p. 99; 133 III 61 consid. 2.2.1 p. 67 et les arrêts cités).</w:t>
      </w:r>
    </w:p>
    <w:p>
      <w:r>
        <w:rPr>
          <w:b/>
        </w:rPr>
        <w:t>E. 3.2.2</w:t>
      </w:r>
    </w:p>
    <w:p>
      <w:r>
        <w:t>L'interprétation de la volonté subjective a la priorité sur l'interprétation de la volonté objective ( ATF 144 III 93 consid. 5.2.1 p. 97 et l'arrêt cité). Ce principe de priorité relève du droit ( ATF 131 III 606 consid. 4.1 p. 611). En effet, lorsque les parties se sont exprimées de manière concordante (échange de manifestations de volonté concordantes; übereinstimmende Willenserklärungen ), qu'elles se sont effectivement comprises et, partant, ont voulu se lier, elles sont liées par un accord de fait ( tatsächlicher Konsens ). Ce n'est que subsidiairement, si un tel accord de fait n'a pas pu être établi, que le contrat peut être conclu dans le sens objectif que l'on peut donner à leurs déclarations de volonté selon le principe de la confiance et, donc, par un accord de droit ( ATF 144 III 93 consid. 5.2.1 p. 98).</w:t>
      </w:r>
    </w:p>
    <w:p>
      <w:r>
        <w:rPr>
          <w:b/>
        </w:rPr>
        <w:t>E. 3.3</w:t>
      </w:r>
    </w:p>
    <w:p>
      <w:r>
        <w:t>En l'espèce, sous le titre " Prix et modalités de paiement " (complètement selon l' art. 105 al. 2 LTF ), le pacte prévoit que le prix de vente est fixé à 13'000'000 fr., payable, s'agissant de l'" acompte réservation " de 7'000'000 fr., à la signature de l'acte et, s'agissant du solde du prix de vente, pour moitié lors de la signature de la réquisition de l'exercice du droit d'emption et, pour moitié, à la prise de possession. En cas d'exercice du droit d'emption à l'échéance, l'" acompte réservation " est porté en déduction du prix de vente total. En cas de non-exercice du droit d'emption dans les conditions convenues, cet " acompte réservation " est définitivement acquis aux hoirs promettants (ch. II/1 du pacte). Sous le titre " Modalités d'exercice du droit d'emption " (complètement selon l' art. 105 al. 2 LTF ), le pacte stipulait, avant modifications par les deux avenants, que, si la société emptrice ne présente pas de dossier de demande d'autorisation de construire dans le délai convenu au 31 janvier 2012, elle est présumée avoir renoncé à son droit d'emption. Il en va de même si elle n'exerce pas son droit d'emption dans les 60 jours dès l'entrée en force de l'autorisation de construire ou pour le 30 septembre 2012 au plus tard. Dans ces hypothèses, l'acompte payé est définitivement acquis aux hoirs promettants (ch. II/3).</w:t>
      </w:r>
    </w:p>
    <w:p>
      <w:r>
        <w:rPr>
          <w:b/>
        </w:rPr>
        <w:t>E. 3.3.1</w:t>
      </w:r>
    </w:p>
    <w:p>
      <w:r>
        <w:t>La cour cantonale a recherché, dans un premier temps, la volonté subjective des parties, mais n'est pas parvenue à la déterminer. Au terme d'une appréciation des preuves développée sur trois pages, elle a conclu qu'il est douteux que les parties, et plus particulièrement la société bénéficiaire du droit d'emption, ait accepté que l'hoirie se voie purement et simplement gratifiée d'un montant de 7'000'000 fr. si la vente ne se concrétisait pas pour quelque raison que ce soit, de sorte qu'elle n'a pas pu retenir une volonté réelle des parties ni dans un sens ni dans l'autre. C'est à tort que les recourants invoquent la violation du droit fédéral ( art. 18 al. 1 CO ), en l'occurrence la violation du principe de la priorité de l'interprétation subjective sur l'interprétation objective. En effet, la cour cantonale a bien recherché d'abord la volonté subjective des parties et a constaté l'échec de sa détermination. Autre est la question de savoir si son appréciation des preuves à cet égard - la détermination de la volonté subjective étant une question de fait, que le Tribunal fédéral ne corrige que si elle est arbitraire ( art. 97 al. 1 LTF , art. 9 Cst. et 106 al. 2 LTF) - et l'absence de preuve à laquelle elle est arrivée résiste au grief d'arbitraire. En invoquant que la cour cantonale a écarté les propos de quatre témoins ayant déclaré qu'ils ne se souvenaient pas que le notaire leur aurait dit que le prix de 7'000'000 fr. était trop élevé pour un pacte d'emption, au profit de la version du notaire qui a affirmé avoir fait cette déclaration, les recourants ne démontrent pas que la cour cantonale aurait retenu de manière insoutenable qu'il ne lui était pas possible de déterminer la volonté subjective des parties, en particulier celle de la société emptrice. Autrement dit, ils ne démontrent pas qu'il résulterait de manière univoque de l'administration des preuves que les deux parties auraient voulu fixer un prix de 7'000'000 fr. pour le droit d'emption, soit une rémunération pour la restriction subie à leurs droits par les hoirs promettants.</w:t>
      </w:r>
    </w:p>
    <w:p>
      <w:r>
        <w:rPr>
          <w:b/>
        </w:rPr>
        <w:t>E. 3.3.2</w:t>
      </w:r>
    </w:p>
    <w:p>
      <w:r>
        <w:t>La cour cantonale a dès lors procédé à la détermination de la volonté objective des parties. En substance, la cour cantonale a écarté l'interprétation selon laquelle l'" acompte réservation " de 7'000'000 fr. doit être compris comme une contre-prestation pour la concession du droit d'emption, c'est-à-dire pour la restriction subie par les hoirs promettants pour la durée de validité du droit d'emption conféré, soit 15 mois. Elle s'est fondée sur trois éléments: premièrement, le texte du pacte n'utilise pas le terme de rémunération ou une notion analogue; deuxièmement, le montant en jeu est beaucoup trop important pour servir de dédommagement à la restriction subie par les hoirs promettants durant cette période réduite; et troisièmement, le fait que la clause prévoit que le montant reste acquis aux hoirs promettants en cas de non-exercice du droit exerce une véritable pression sur la société bénéficiaire du droit d'emption et cette clause doit donc être qualifiée de clause pénale improprement dite. Cette interprétation peut être confirmée par substitution du motif qui suit. Selon le principe de la confiance, soit selon le sens qu'un destinataire raisonnable peut et doit lui donner, la clause qui prévoit, sous le titre " Modalités d'exercice du droit d'emption " qu'" [e]n cas de non-présentation d'un dossier de demande d'autorisation de construire dans le délai convenu ", respectivement de non-exercice de son droit dans les 60 jours suivant l'entrée en force de dite autorisation, l'empteur sera présumé avoir renoncé à son emption et que " l'acompte payé [sera] définitivement acquis à l'hoirie venderesse " est, selon son texte et sa situation dans cette rubrique du pacte, directement destinée à faire pression sur l'empteur pour qu'il présente une demande d'autorisation de construire et y donne suite par l'exercice de son droit d'emption et à le punir, s'il ne s'y conforme pas, par la perte de l'acompte déjà versé. Vu cette caractéristique " punitive ", la clause ne peut être comprise, de bonne foi, que comme une clause pénale, en l'occurrence improprement dite s'agissant non d'une obligation à exécuter, mais d'un droit à exercer.</w:t>
      </w:r>
    </w:p>
    <w:p>
      <w:r>
        <w:rPr>
          <w:b/>
        </w:rPr>
        <w:t>E. 3.3.3</w:t>
      </w:r>
    </w:p>
    <w:p>
      <w:r>
        <w:t>Les griefs des recourants ne changent rien à ce qui précède. L'essentiel de leur argumentation se réfère au comportement des parties après la conclusion du contrat, notamment après l'admission de l'initiative populaire et de leurs déclarations en procédure. Manifestement, les recourants méconnaissent que l'interprétation de la volonté objective, selon le principe de la confiance, ne peut pas se baser sur des faits postérieurs à la conclusion du contrat. En effet, puisqu'il s'agit de déterminer ce qu'un destinataire raisonnable devait et pouvait, de bonne foi, comprendre, seuls les éléments existant au moment de la conclusion du contrat - antérieurs et concomitants - peuvent être pris en considération. Les recourants reprochent encore au Tribunal cantonal de s'être livré à une appréciation purement subjective lorsqu'il indique que le montant de 7'000'000 fr. est beaucoup trop élevé pour servir de contrepartie au droit d'emption, contrepartie tendant à dédommager le promettant pour la restriction subie sur une période réduite. Partant, ils font valoir une violation du principe de la liberté contractuelle de l' art. 19 CO , les parties étant rompues aux affaires et, partant, libres de fixer une telle somme. Dès lors que l'interprétation de la volonté des parties selon le principe de la confiance a conduit, sur la base du texte de la clause et de la rubrique du pacte sous laquelle elle figure, à retenir l'existence d'une clause pénale improprement dite, ce grief repose sur une interprétation différente qui a déjà été écartée. Pour le même motif, leur grief affirmant qu'il y a violation des art. 158 et 159 CO , sans aucune démonstration à cet égard, et que les parties ont voulu un droit d'emption onéreux est sans pertinence. Les griefs sont rejetés.</w:t>
      </w:r>
    </w:p>
    <w:p>
      <w:r>
        <w:rPr>
          <w:b/>
        </w:rPr>
        <w:t>E. 4</w:t>
      </w:r>
    </w:p>
    <w:p>
      <w:r>
        <w:t>Subsidiairement, pour le cas où le Tribunal fédéral admettrait l'existence d'une clause pénale, les recourants contestent la réduction de la clause pénale de 7'000'000 fr. au montant de 1'300'000 fr.</w:t>
      </w:r>
    </w:p>
    <w:p>
      <w:r>
        <w:rPr>
          <w:b/>
        </w:rPr>
        <w:t>E. 4.1</w:t>
      </w:r>
    </w:p>
    <w:p>
      <w:r>
        <w:t>Aux termes de l' art. 163 al. 3 CO , le juge doit réduire les peines qu'il estime excessives. Il s'agit d'une norme d'ordre public - destinée à protéger la partie faible contre les abus de l'autre partie -, et impérative - ce qui signifie que les parties ne peuvent y renoncer ( ATF 143 III 1 consid. 4.1 p. 1; 133 III 201 consid. 5.2 p. 209; arrêt 4A_398/2007 consid. 7.1, non publié in ATF 135 III 433 ). Le pouvoir d'appréciation du juge ( art. 4 CC ) se rapporte tant au caractère excessif de la peine qu'à la question de l'étendue de la réduction. Si le juge reconnaît que la peine est excessive, il doit en principe la réduire uniquement dans la mesure nécessaire pour qu'elle ne le soit plus ( ATF 133 III 201 consid. 5.2 p. 210). La réduction d'une peine conventionnelle est un cas d'application du principe général de l'interdiction de l'abus de droit ( ATF 143 III 1 consid. 4.1 p. 2; 138 III 746 consid. 6.1.1 p. 748). L'intervention du juge dans le contrat ne se justifie que si le montant de la peine fixé est si élevé qu'il dépasse toute mesure raisonnable, au point de ne plus être compatible avec le droit et l'équité. Pour juger du caractère excessif de la peine conventionnelle, il ne faut pas raisonner abstraitement, mais, au contraire, tenir compte de toutes les circonstances concrètes du cas d'espèce. Une réduction de la peine se justifie en particulier lorsqu'il existe une disproportion crasse entre le montant convenu et l'intérêt du créancier à maintenir la totalité de sa prétention, mesuré concrètement au moment où la violation contractuelle est survenue ( ATF 133 III 201 consid. 5.2 p. 209). Même si l'existence d'un dommage n'est pas nécessaire et qu'une peine n'est pas excessive simplement parce qu'elle dépasse d'éventuels dommages-intérêts pour cause d'inexécution ( art. 161 al. 1 CO ), il n'en demeure pas moins que le dommage auquel le créancier est exposé dans le cas concret est révélateur de l'intérêt dudit créancier à l'exécution et constitue à ce titre l'une des circonstances à prendre en compte (cf. ATF 114 II 264 consid. 1b p. 265; 133 III 43 consid. 4.3 p. 55). D'autres critères d'appréciation peuvent entrer en considération, comme la nature et la durée du contrat, la gravité de la faute et de la violation contractuelle, la situation économique des parties, singulièrement du débiteur. Il convient également de ne pas perdre de vue les éventuels liens de dépendance résultant du contrat et l'expérience en affaires des parties ( ATF 133 III 201 consid. 5.2 p. 209 s.). Le Tribunal fédéral revoit avec retenue la décision d'équité prise en dernière instance cantonale. Il n'intervient que lorsque celle-ci s'écarte sans raison des règles établies par la doctrine et la jurisprudence en matière de libre appréciation ( art. 4 CC ),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133 III 201 consid. 5.4 p. 211; arrêts 4A_268/2016 du 14 décembre 2016 consid. 5.1 non publié in ATF 143 III 1 ; 4A_653/2016 du 20 octobre 2017 consid. 5.1).</w:t>
      </w:r>
    </w:p>
    <w:p>
      <w:r>
        <w:rPr>
          <w:b/>
        </w:rPr>
        <w:t>E. 4.2</w:t>
      </w:r>
    </w:p>
    <w:p>
      <w:r>
        <w:t>En substance, la cour cantonale a considéré que la peine conventionnelle convenue est exorbitante, et manifestement excessive au sens de l' art. 163 al. 3 CO , puisqu'elle correspond à un peu plus de la moitié du prix de vente, dont rien ne permet d'affirmer qu'il serait insignifiant pour la société emptrice. Puis, elle a constaté que la volonté de la société bénéficiaire d'exercer son droit d'emption était fermement établie. En effet, ce n'est que parce que l'adoption de l'initiative sur les résidences secondaires et son entrée en vigueur immédiate - que les parties n'avaient pas sérieusement envisagées - ont rendu impossible le projet immobilier envisagé, celui-ci ayant manifestement eu une influence sur le prix de vente convenu, que la société bénéficiaire a renoncé à exercer son droit d'emption. Elle n'y a donc pas renoncé par pures convenances personnelles, mais bien en raison de circonstances extérieures sur lesquelles elle n'avait pas prise et qui étaient de nature à justifier sa renonciation. Celle-ci était donc légitime. Il n'est pas contesté que la valeur des parcelles à la suite de l'impossibilité de réaliser le projet immobilier envisagé a nettement diminué du fait de l'adoption de l'initiative, de sorte que le prix de vente convenu est trop important au regard des possibilités de construction restantes, ce dont les hoirs promettants étaient conscients. Ils n'ont toutefois pas prétendu que la société emptrice s'était engagée à prendre toutes les mesures nécessaires pour concrétiser la vente avant l'entrée en vigueur de l'initiative et que la peine conventionnelle avait été convenue pour sanctionner la violation de cet engagement et compenser le dommage en découlant. Pour s'en garantir, ils auraient pu conclure directement un contrat de vente; ne l'ayant pas fait, ils ont pris le risque que la vente ne se réalise pas, risque qu'il leur appartient de supporter. Le bénéficiaire d'un droit d'emption peut aussi devoir assumer une partie du risque de dépréciation de la valeur de l'objet pendant la durée du droit, et ce par la conclusion d'une peine conventionnelle. Le montant de la peine conventionnelle doit toutefois demeurer raisonnable. À défaut, le bénéficiaire ne serait plus libre d'exercer ou non son droit et serait pratiquement contraint de l'exercer, ce qui est contraire à l'institution du droit d'emption. Pour ces motifs, la cour cantonale a estimé devoir procéder à une réduction drastique de la peine conventionnelle à 10 % du prix de vente, soit 1'300'000 fr. Ce montant étant déjà très important, elle a estimé ne pas pouvoir l'excéder, même si les parties étaient expérimentées en matière immobilière. Elle a estimé qu'il tenait équitablement compte du fait que le pacte était gratuit et du fait que les hoirs promettants avaient pris un risque en concédant un droit d'emption, risque qui s'est réalisé.</w:t>
      </w:r>
    </w:p>
    <w:p>
      <w:r>
        <w:rPr>
          <w:b/>
        </w:rPr>
        <w:t>E. 4.3</w:t>
      </w:r>
    </w:p>
    <w:p>
      <w:r>
        <w:t>Tout en admettant que l'adoption de l'initiative sur les résidences secondaires et son entrée en vigueur immédiate ont rendu impossible le projet immobilier envisagé par la société emptrice et entraîné une dépréciation de valeur des parcelles de 30 % (soit, selon eux, 3'900'000 fr.), les recourants estiment qu'il s'agissait d'un risque entrepreneurial couru par les promoteurs immobiliers et que ceux-ci devaient le supporter au titre de la peine conventionnelle, dont le montant n'est donc pas excessif. Selon eux, c'est le bénéficiaire du droit d'emption qui doit supporter la perte de valeur des parcelles et non les promettants; ils contestent que seule une vente aurait pu entraîner cette conséquence. Or, la cour cantonale a constaté que les parties n'ont pas sérieusement envisagé que l'initiative serait acceptée et entrerait immédiatement en vigueur, ce qui aurait une influence sur le prix de vente convenu. Elle a également retenu qu'il n'a pas été prétendu que la société bénéficiaire s'était engagée à prendre toutes les mesures nécessaires pour concrétiser la vente avant l'entrée en vigueur de l'initiative et que la peine conventionnelle avait été convenue pour sanctionner la violation de cet engagement et compenser le dommage en résultant. Les recourants ne s'en prennent pas à ces constatations de manière conforme aux exigences de l' art. 106 al. 2 LTF . Il s'ensuit que les griefs sont rejetés et qu'il est superflu de se prononcer sur les autres griefs des recourants.</w:t>
      </w:r>
    </w:p>
    <w:p>
      <w:r>
        <w:rPr>
          <w:b/>
        </w:rPr>
        <w:t>E. 5</w:t>
      </w:r>
    </w:p>
    <w:p>
      <w:r>
        <w:t>En dernier lieu, les recourants font grief à l'autorité précédente d'avoir mal appliqué les règles de la prescription.</w:t>
      </w:r>
    </w:p>
    <w:p>
      <w:r>
        <w:rPr>
          <w:b/>
        </w:rPr>
        <w:t>E. 5.1.1</w:t>
      </w:r>
    </w:p>
    <w:p>
      <w:r>
        <w:t>Lorsqu'une peine conventionnelle déjà acquittée est réduite par le juge (cf. ATF 133 III 43 consid. 3.6 p. 52), la prétention en répétition du montant résultant de cette réduction est soumise aux dispositions en matière d'enrichissement illégitime et, donc, à la prescription prévue à l' art. 67 CO (TERCIER/PICHONNAZ, Le droit des obligations, 6e éd. 2019, p. 343 n. 1486; NURULLAH KUNTER, La réduction de la peine conventionnelle déjà acquittée, RDS 61/1942 p. 106; GASPARD COUCHEPIN, La clause pénale, 2008, p. 190 n. 944; cf. MICHEL MOOSER, Commentaire romand, Code des obligations, 2e éd. 2012, no 12 ad art. 163 CO ; WIDMER/COSTANTINI/EHRAT, op. cit., no 12 ad art. 163 CO ; ROLAND BENTELE, Die Konventionalstrafe nach Art. 160-163 OR , 1994, p. 125).</w:t>
      </w:r>
    </w:p>
    <w:p>
      <w:r>
        <w:rPr>
          <w:b/>
        </w:rPr>
        <w:t>E. 5.1.2</w:t>
      </w:r>
    </w:p>
    <w:p>
      <w:r>
        <w:t>L'art. 67 al. 1 aCO prévoit deux délais de prescription: le premier délai d'un an, relatif, court à partir du jour où la partie lésée a eu connaissance de son droit de répétition; le second délai de dix ans, absolu, court dès la naissance de ce droit. À la suite de la révision du droit de la prescription, entrée en vigueur le 1er janvier 2020, le délai de prescription relatif de l'action en enrichissement illégitime a été porté à trois ans, l' art. 67 al. 1 CO demeurant pour le reste inchangé (RO 2018 5343; ATF 146 III 82 consid. 4.1.2 p. 85). À teneur de l' art. 49 al. 1 Tit. fin. CC , lorsque le nouveau droit prévoit des délais de prescription plus longs que l'ancien droit, le nouveau droit s'applique dès lors que la prescription n'est pas échue en vertu de l'ancien droit. Le créancier a connaissance de son droit de répétition - et le délai de prescription relatif d'un an commence à courir ( art. 67 al. 1 CO ) - lorsqu'il connaît suffisamment d'éléments pour fonder et motiver son action en justice, laquelle n'a pas besoin d'être chiffrée ( art. 85 CPC ). Cela suppose qu'il ait connaissance de la mesure approximative de l'atteinte à son patrimoine, de l'absence de cause du déplacement de patrimoine et de la personne de l'enrichi. Est déterminant le moment de la connaissance effective de sa prétention, et non celui où il aurait pu connaître son droit en faisant preuve de l'attention commandée par les circonstances ( ATF 129 III 503 consid. 3.4 p. 506; 109 II 433 consid. 2 p. 435; arrêt 4A_254/2016 du 10 juillet 2017 consid. 3.1.3.1).</w:t>
      </w:r>
    </w:p>
    <w:p>
      <w:r>
        <w:rPr>
          <w:b/>
        </w:rPr>
        <w:t>E. 5.2</w:t>
      </w:r>
    </w:p>
    <w:p>
      <w:r>
        <w:t>En l'espèce, l'autorité précédente a retenu que la société emptrice avait la quasi-certitude qu'elle obtiendrait le permis de construire nécessaire malgré l'acceptation de l'initiative. Après que l'initiative a été acceptée, la société emptrice a ainsi déposé, avec les recourants, la demande de permis de construire et est convenue, avec ceux-ci, d'un avenant au pacte afin d'en prolonger la durée. La cour cantonale a relevé qu'en décidant que l'interdiction de construire prévue par l'initiative était directement applicable, le Tribunal fédéral avait désavoué plusieurs tribunaux cantonaux et était allé à l'encontre de l'avis d'une partie de la doctrine. De plus, le conseil municipal de yyy avait indiqué, dans sa décision d'autorisation de construire, que la question de l'application de l'initiative ne lui avait pas échappé et qu'il considérait que, conformément aux directives données par le canton du Valais se référant à la disposition transitoire de l'initiative, les demandes d'autorisation déposées entre le 11 mars 2012 et le 31 décembre 2012 pouvaient être autorisées jusqu'au 31 décembre 2012. La cour cantonale a dès lors considéré que c'était seulement à la suite des arrêts du Tribunal fédéral précités (cf. supra consid. A.j) que la société emptrice avait su, avec le degré de connaissance suffisant, que, compte tenu du recours de F.________, l'autorisation de construire délivrée ne pourrait entrer en force et qu'elle disposait d'une créance en restitution de l'acompte versé contre les hoirs promettants. Dans la mesure où la société emptrice a déposé sa requête de conciliation le 26 février 2014, elle a valablement interrompu la prescription et ses prétentions ne sont pas prescrites.</w:t>
      </w:r>
    </w:p>
    <w:p>
      <w:r>
        <w:rPr>
          <w:b/>
        </w:rPr>
        <w:t>E. 5.3</w:t>
      </w:r>
    </w:p>
    <w:p>
      <w:r>
        <w:t>Les recourants font valoir que la question de savoir si un permis de construire délivré après le 11 mars 2012 mais avant le 1er janvier 2013 serait valable avait fait l'objet de nombreuses discussions bien avant les arrêts du Tribunal fédéral précités. Par ailleurs, l'intimée savait que zzz (sic) faisait partie des communes assujetties à l'ordonnance sur les résidences secondaires dès sa publication le 22 août 2012 et aurait pu effectuer à ce moment-là un acte interruptif de prescription. Enfin, l'intimée a signé un second avenant le 17 avril 2013 sans solliciter l'ajout d'une condition particulière relative à l'initiative. Les recourants en déduisent qu'il était clair pour les parties que la rémunération du droit d'emption leur était dès lors acquise en cas de non-exercice du droit d'emption.</w:t>
      </w:r>
    </w:p>
    <w:p>
      <w:r>
        <w:rPr>
          <w:b/>
        </w:rPr>
        <w:t>E. 5.4</w:t>
      </w:r>
    </w:p>
    <w:p>
      <w:r>
        <w:t>Le délai de prescription de l'art. 67 aCO commence à courir lorsque le créancier connaît effectivement sa prétention, et non à partir du moment où il aurait pu connaître son droit en faisant preuve de l'attention commandée par les circonstances (cf. supra consid. 5.1). Or, il ressort des constatations factuelles de l'autorité précédente que l'intimée n'a effectivement connu sa prétention qu'au moment où le Tribunal fédéral a rendu les arrêts précités (cf. supra consid. A.j). Comme l'a relevé à juste titre la cour cantonale, les démarches de l'intimée précédant le prononcé de ces arrêts montrent en effet qu'elle pensait pouvoir faire usage du permis de construire qu'elle avait obtenu. Elle ne savait dès lors pas encore que tel ne serait pas le cas et, partant, qu'elle avait une prétention à l'encontre des recourants. Les arguments soulevés par les recourants n'emportent pas la conviction. Premièrement, les discussions relatives à l'application de l'initiative ne constituaient que des spéculations et seuls les arrêts du Tribunal fédéral ont définitivement tranché la question et, partant, permis à l'intimée de savoir qu'elle disposait de prétentions à l'encontre des recourants. Deuxièmement, l'assujettissement de la commune de yyy à l'ordonnance sur les résidences secondaires n'a pas pour effet de déterminer quand l'initiative produirait ses effets. Enfin, la signature de l'avenant sans clause relative à l'initiative tend également à démontrer que les deux parties partaient du principe que l'initiative n'était pas directement applicable et, partant, que l'intimée ignorait à ce stade l'existence de ses prétentions à l'encontre des recourants. Le grief est rejeté.</w:t>
      </w:r>
    </w:p>
    <w:p>
      <w:r>
        <w:rPr>
          <w:b/>
        </w:rPr>
        <w:t>E. 6</w:t>
      </w:r>
    </w:p>
    <w:p>
      <w:r>
        <w:t>Au vu de ce qui précède, le recours en matière civile doit être rejeté. Les frais judiciaires et les dépens sont mis, solidairement, à la charge des recourants, qui succombent (art. 66 al. 1 et 5 et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