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4A_225/2024 vom 3. Juni 2024</w:t>
      </w:r>
    </w:p>
    <w:p>
      <w:r>
        <w:t>Bundesgericht, 2024-06-03, DE</w:t>
      </w:r>
    </w:p>
    <w:p>
      <w:r>
        <w:rPr>
          <w:b/>
        </w:rPr>
        <w:t xml:space="preserve">Quelle: </w:t>
      </w:r>
      <w:r>
        <w:t>https://mcp.opencaselaw.ch/entscheid/bger_4A_225_2024</w:t>
      </w:r>
    </w:p>
    <w:p>
      <w:r>
        <w:t>FR: TF 4A_225/2024 du 3 juin 2024</w:t>
      </w:r>
    </w:p>
    <w:p>
      <w:r>
        <w:t>IT: TF 4A_225/2024 del 3 giugno 2024</w:t>
      </w:r>
    </w:p>
    <w:p>
      <w:pPr>
        <w:pStyle w:val="Heading2"/>
      </w:pPr>
      <w:r>
        <w:t>Erwägungen</w:t>
      </w:r>
    </w:p>
    <w:p>
      <w:r>
        <w:rPr>
          <w:b/>
        </w:rPr>
        <w:t>E. 1</w:t>
      </w:r>
    </w:p>
    <w:p>
      <w:r>
        <w:t>Mit Entscheid vom 2. November 2023 stellte das Kantonsgericht Zug fest, dass die einfache Gesellschaft bestehend aus den beiden Parteien aufgelöst worden ist und regelte die Einzelheiten der Liquidation.</w:t>
      </w:r>
    </w:p>
    <w:p>
      <w:r>
        <w:t>Der Beschwerdeführer erhob gegen diesen Entscheid beim Obergericht des Kantons Zug Berufung.</w:t>
      </w:r>
    </w:p>
    <w:p>
      <w:r>
        <w:t>Mit Präsidialverfügung vom 9. Februar 2024 (veröffentlicht im Schweizerischen Handelsamtsblatt [SHAB]) stellte das Obergericht fest, dass für den Beschwerdeführer die 30-tägige Berufungsfrist gegen den Entscheid des Kantonsgerichts vom 2. November 2023 am 22. Februar 2024 ablaufe.</w:t>
      </w:r>
    </w:p>
    <w:p>
      <w:r>
        <w:t>Mit Urteil 4A_153/2024 vom 22. März 2024 trat das Bundesgericht auf eine vom Beschwerdeführer gegen die obergerichtliche Präsidialverfügung vom 9. Februar 2024 erhobene Beschwerde nicht ein.</w:t>
      </w:r>
    </w:p>
    <w:p>
      <w:r>
        <w:t>Mit Präsidialverfügung vom 3. April 2024 (veröffentlicht im SHAB) trat das Obergericht des Kantons Zug auf die vom Beschwerdeführer erhobene Berufung infolge unzureichender Begründung des Rechtsmittels nicht ein.</w:t>
      </w:r>
    </w:p>
    <w:p>
      <w:r>
        <w:t>Mit Eingabe vom 19. April 2024 erklärte der Beschwerdeführer dem Bundesgericht, die Präsidialverfügung vom 3. April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an das Bundesgericht ist nur gegen Entscheide letzter kantonaler Instanzen zulässig ( Art. 75 Abs. 1 BGG ).</w:t>
      </w:r>
    </w:p>
    <w:p>
      <w:r>
        <w:t>Auf die Beschwerde kann daher von vornherein nicht eingetreten werden, soweit sie sich unmittelbar gegen den Entscheid des Kantonsgerichts Zug vom 2. November 2023 richtet, da es sich dabei nicht um einen letztinstanzlichen Entscheid im Sinne von Art. 75 Abs. 1 BGG handelt. Die Ausführungen, mit denen der Beschwerdeführer den erstinstanzlichen Verfahrensablauf kritisiert, haben unbeachtet zu bleiben.</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Der Beschwerdeführer setzt sich in seiner Beschwerdeeingabe vom 19. April 2024 nicht hinreichend mit den Erwägungen der angefochtenen Präsidialverfügung des Obergerichts des Kantons Zug vom 3. April 2024 auseinander und zeigt nicht auf, inwiefern die Vorinstanz mit ihrem Nichteintretensentscheid Bundesrecht verletzt hätte. Stattdessen unterbreitet er dem Bundesgericht unter Berufung auf zahlreiche Beilagen in unzulässiger Weise seine eigene Sicht der Dinge.</w:t>
      </w:r>
    </w:p>
    <w:p>
      <w:r>
        <w:t>Auf die Beschwerde ist somit im vereinfachten Verfahren gemäss Art. 108 Abs. 1 lit. a und lit. b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