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4A_224/2017 vom 27. Juni 2017</w:t>
      </w:r>
    </w:p>
    <w:p>
      <w:r>
        <w:t>Bundesgericht, 2017-06-27, FR</w:t>
      </w:r>
    </w:p>
    <w:p>
      <w:r>
        <w:rPr>
          <w:b/>
        </w:rPr>
        <w:t xml:space="preserve">Quelle: </w:t>
      </w:r>
      <w:r>
        <w:t>https://mcp.opencaselaw.ch/entscheid/bger_4A_224_2017</w:t>
      </w:r>
    </w:p>
    <w:p>
      <w:r>
        <w:t>FR: TF 4A_224/2017 du 27 juin 2017</w:t>
      </w:r>
    </w:p>
    <w:p>
      <w:r>
        <w:t>IT: TF 4A_224/2017 del 27 giugno 2017</w:t>
      </w:r>
    </w:p>
    <w:p>
      <w:pPr>
        <w:pStyle w:val="Heading2"/>
      </w:pPr>
      <w:r>
        <w:t>Erwägungen</w:t>
      </w:r>
    </w:p>
    <w:p>
      <w:r>
        <w:rPr>
          <w:b/>
        </w:rPr>
        <w:t>E. 1</w:t>
      </w:r>
    </w:p>
    <w:p>
      <w:r>
        <w:t>Les conditions de recevabilité du recours en matière civile sont réalisées sur le principe, en particulier celles afférentes à la valeur litigieuse minimale de 30'000 fr. ( art. 74 al. 1 let. b LTF ) et au délai de recours ( art. 100 al. 1 LTF ).</w:t>
      </w:r>
    </w:p>
    <w:p>
      <w:r>
        <w:rPr>
          <w:b/>
        </w:rPr>
        <w:t>E. 2</w:t>
      </w:r>
    </w:p>
    <w:p>
      <w:r>
        <w:t>Il est opportun d'examiner en premier lieu la recevabilité de la conclusion tendant à faire constater l'inexistence d'une dette de 187'278 fr.</w:t>
      </w:r>
    </w:p>
    <w:p>
      <w:r>
        <w:rPr>
          <w:b/>
        </w:rPr>
        <w:t>E. 2.1</w:t>
      </w:r>
    </w:p>
    <w:p>
      <w:r>
        <w:t>L'autorité précédente a refusé d'entrer en matière au motif que cette question avait déjà été tranchée avec autorité de chose jugée par jugement du 9 novembre 2012. Il y avait identité de parties et identité d'objet du litige avec la présente procédure. Même si le jugement en question n'était pas motivé, des décisions antérieures rendues dans la même cause (jugement annulé du 2 novembre 2011 et arrêt de renvoi du 27 avril 2012) démontraient que la condamnation au paiement de 187'278 fr. se fondait sur les reconnaissances de dettes des 14 novembre et 24 décembre 2003.</w:t>
      </w:r>
    </w:p>
    <w:p>
      <w:r>
        <w:rPr>
          <w:b/>
        </w:rPr>
        <w:t>E. 2.2</w:t>
      </w:r>
    </w:p>
    <w:p>
      <w:r>
        <w:t>En substance, le recourant objecte que l'authenticité des reconnaissances de dettes n'a pas été examinée dans la première procédure; la Cour de justice serait bien en peine de soutenir le contraire puisqu'aucun jugement motivé n'a été rendu. Le recourant conteste en outre la validité matérielle des reconnaissances de dettes. Il dénonce un résultat inéquitable, où il est finalement privé de toute possibilité de contester les reconnaissances de dettes qui ont fondé sa condamnation par défaut «survenu dans des circonstances de notification contestées», tandis que la partie adverse, si elle s'était vu refuser la protection pour les cas clairs, aurait pu intenter un nouveau procès sans qu'on lui oppose l'autorité de chose jugée. A posteriori, les conditions du cas clair n'étaient pas réalisées.</w:t>
      </w:r>
    </w:p>
    <w:p>
      <w:r>
        <w:rPr>
          <w:b/>
        </w:rPr>
        <w:t>E. 2.3.1</w:t>
      </w:r>
    </w:p>
    <w:p>
      <w:r>
        <w:t>L' art. 59 al. 2 let . e CPC s'oppose à ce que le tribunal entre en matière sur une demande lorsque le litige fait déjà l'objet d'une décision entrée en force. Il s'agit de l'effet de l'autorité de chose jugée attachée à la décision qui est entrée en force de chose jugée formelle (arrêt 4A_66/2016 du 22 août 2016 consid. 4.1.1).</w:t>
      </w:r>
    </w:p>
    <w:p>
      <w:r>
        <w:t>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 ATF 141 III 257 consid. 3.2; 140 III 278 consid. 3.3 p. 281).</w:t>
      </w:r>
    </w:p>
    <w:p>
      <w:r>
        <w:t>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la chose jugée ne s'attache pas aux faits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 ATF 140 III 278 consid. 3.3 et les réf. citées; 142 III 413 consid. 2.2.6 p. 419; 116 II 738 consid. 2b).</w:t>
      </w:r>
    </w:p>
    <w:p>
      <w:r>
        <w:t>D'après l' art. 328 CPC , la révision d'un jugement entré en force peut notamment être demandée lorsqu'une partie découvre après coup des faits pertinents ou des moyens de preuve concluants qu'elle n'avait pu invoquer dans la procédure précédente, à l'exclusion des faits et moyens de preuve postérieurs à la décision ( art. 328 al. 1 let. a CPC ; cf. par ex. arrêt 4A_511/2016 du 2 mai 2017 consid. 2.2, destiné à la publication), ou encore lorsqu'il est établi - en principe par une procédure pénale - que la décision a été influencée au préjudice du requérant par un crime ou un délit ( art. 328 al. 1 let. b CPC ).</w:t>
      </w:r>
    </w:p>
    <w:p>
      <w:r>
        <w:rPr>
          <w:b/>
        </w:rPr>
        <w:t>E. 2.3.2</w:t>
      </w:r>
    </w:p>
    <w:p>
      <w:r>
        <w:t>Un jugement entré en force est revêtu de l'autorité de chose jugée même s'il repose sur des fondements erronés ( ATF 115 II 187 consid. 3b p. 191). Tel n'est en revanche pas le cas des jugements nuls, qui sont dépourvus de tout effet juridique ( ATF 129 I 361 consid. 2.3 p. 364; SIMON ZINGG, in Berner Kommentar I, 2012, n° 98 ad art. 59 CPC ; FRANÇOIS BOHNET, in Code de procédure civile commenté, 2011, n° 106 ad art. 59 CPC ).</w:t>
      </w:r>
    </w:p>
    <w:p>
      <w:r>
        <w:t>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Les principaux motifs de nullité résident dans l'incompétence d'une autorité ou dans des violations crasses de règles procédurales ( ATF 138 II 501 consid. 3.1; 137 I 273 consid. 3.1). Les violations du droit d'être entendu sont en soi guérissables et n'entraînent en principe que l'annulabilité de la décision viciée. La nullité doit cependant être retenue en cas d'atteinte spécialement grave aux droits essentiels des parties ( ATF 129 I 361 consid. 2.1; arrêt 4A_141/2015 du 25 juin 2015 consid. 3 et les arrêts cités). Le fait d'utiliser la voie édictale alors que ses conditions ne sont pas réalisées constitue un motif de nullité ( ATF 129 I 361 consid. 2.2; 136 III 571 consid. 6.3), tout comme l'absence de notification d'une décision: tant qu'un jugement n'a pas été communiqué, il est inexistant et n'entre pas en force ( ATF 141 I 97 consid. 7.1 p. 102).</w:t>
      </w:r>
    </w:p>
    <w:p>
      <w:r>
        <w:t>L'absence de notification doit être distinguée de la notification irrégulière, laquelle ne constitue pas nécessairement une cause de nullité; la protection des parties est suffisamment réalisée lorsque la notification irrégulière atteint son but malgré cette irrégularité. Il convient donc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 ATF 122 I 97 consid. 3a).</w:t>
      </w:r>
    </w:p>
    <w:p>
      <w:r>
        <w:rPr>
          <w:b/>
        </w:rPr>
        <w:t>E. 2.4</w:t>
      </w:r>
    </w:p>
    <w:p>
      <w:r>
        <w:t>Il convient de rechercher si le jugement du 9 novembre 2012 est entaché d'un éventuel motif de nullité. Celle-ci peut en effet être constatée d'office et en tout temps, même au stade d'une procédure d'exécution ( ATF 138 II 501 consid. 3.1; 129 I 361 consid. 2 p. 363).</w:t>
      </w:r>
    </w:p>
    <w:p>
      <w:r>
        <w:rPr>
          <w:b/>
        </w:rPr>
        <w:t>E. 2.4.1</w:t>
      </w:r>
    </w:p>
    <w:p>
      <w:r>
        <w:t>Le recourant affirme que les circonstances de notification sont contestées. Cependant, il n'explique pas en quoi le jugement de 2012 serait entaché d'une cause de nullité liée aux notifications, et la lecture de l'arrêt attaqué et du jugement de première instance ne permet pas de discerner un tel motif de nullité. Tout au plus est-il précisé que dans son ordonnance du 4 septembre 2014 (cf. let. Ad</w:t>
      </w:r>
    </w:p>
    <w:p>
      <w:r>
        <w:t>supra ), le Tribunal a considéré que les notifications effectuées par la voie édictale étaient régulières; le recourant, bien qu'assisté d'un avocat, ne fournit aucun élément destiné à contrer cette analyse.</w:t>
      </w:r>
    </w:p>
    <w:p>
      <w:r>
        <w:rPr>
          <w:b/>
        </w:rPr>
        <w:t>E. 2.4.2</w:t>
      </w:r>
    </w:p>
    <w:p>
      <w:r>
        <w:t>Se pose la question du respect des règles procédurales concernant une partie défaillante au sens de l' art. 147 al. 1 CPC .</w:t>
      </w:r>
    </w:p>
    <w:p>
      <w:r>
        <w:t>Savoir s'il convient, en procédure sommaire, de fixer un bref délai supplémentaire à la partie intimée qui n'a pas déposé de déterminations écrites dans le délai imparti prête à discussion (cf. art. 147 al. 2, 219 et 223 CPC ; ATF 138 III 483 consid. 3.2.1 et les auteurs cités). Un auteur rejette même la possibilité de rendre une décision par défaut à l'expiration du délai de déterminations (DENIS TAPPY, in Code de procédure civile commenté, 2011, nos 24-27 ad art. 223 CPC ;</w:t>
      </w:r>
    </w:p>
    <w:p>
      <w:r>
        <w:t>le même , Les décisions par défaut, Les voies de droit et les remèdes aux décisions par défaut, in Procédure civile suisse [...], BOHNET éd., 2010, p. 424 s.).</w:t>
      </w:r>
    </w:p>
    <w:p>
      <w:r>
        <w:t>L'autorité de céans a exclu l'octroi d'un délai supplémentaire dans la procédure en mainlevée provisoire, en raison du principe de célérité ( ATF 138 III 483 consid. 3.2.4, 3.2.5 et 3.3). Certains auteurs souhaitent étendre cette solution à toute procédure sommaire (INGRID JENT-SØRENSEN, in ZPO, Kurzkommentar, 2e éd. 2014, n° 6 s. ad art. 252 CPC ; MARTIN KAUFMANN, in Schweizerische Zivilprozessordnung [ZPO], Kommentar, BRUNNER ET ALII ÉD. [ cité ci-après: Kommentar BRUNNER], 2e éd. 2016, n° 31 ad art. 253 CPC ; RAFAEL KLINGLER, in Kommentar zur Schweizerischen Zivilprozessordnung [ZPO], SUTTER-SOMM ET ALII ÉD., 3e éd. 2016 [cité ci-après: Kommentar SUTTER-SOMM], n° 23 ad art. 252 CPC et n° 3 ad art. 253 CPC ; DANIEL WILLISEGGER, in Basler Kommentar, 2e éd. 2013, n° 29 ad art. 223 CPC ). D'autres estiment qu'un nouveau délai doit être donné s'il n'y a pas d'urgence (ERIC PAHUD, in Kommentar BRUNNER, n° 9 ad art. 223 CPC ; CHRISTOPH LEUENBERGER, in Kommentar SUTTER-SOMM, n° 8 ad art. 223 CPC ; NINA J. FREI, in Berner Kommentar I, n° 26 ad art. 147 CPC ), ou si une décision définitive va être rendue (STEPHAN MAZAN, in Basler Kommentar, n° 16 ad art. 253 CPC ). Enfin, d'aucuns plaident sans réserve pour un délai supplémentaire (HOFMANN/LÜSCHER, Le Code de procédure civile, 2e éd. 2015, p. 236). La doctrine insiste en tout cas sur la nécessité de rendre les parties attentives aux conséquences du défaut, conformément à l' art. 147 al. 3 CPC (cf. aussi ATF 138 III 483 consid. 3.2.5). D'après les travaux législatifs préparatoires, cette obligation découle du principe de la bonne foi; en cas de non-respect, le défaut est en principe exclu (cf. Rapport accompagnant l'avant-projet de la commission d'experts, juin 2003, p. 74 ad art. 142; cf. entre autres FREI, op. cit., n° 29 s. ad art. 147 CPC , TAPPY, op. cit., n° 18 ad art. 147 CPC et NICCOLÒ GOZZI, in Basler Kommentar, n° 20 ad art. 147 CPC , qui réservent le cas où une partie devrait connaître les conséquences du défaut,</w:t>
      </w:r>
    </w:p>
    <w:p>
      <w:r>
        <w:t>contra BARBARA MERZ, in Kommentar BRUNNER, n° 27 ad art. 147 CPC ).</w:t>
      </w:r>
    </w:p>
    <w:p>
      <w:r>
        <w:t>En l'occurrence, il ressort de l'arrêt attaqué que le recourant a été invité, par ordonnance du 5 octobre 2012 publiée dans la FAO, à déposer des déterminations écrites sur la requête en protection d'un cas clair. Il a ensuite été condamné au paiement de 187'278 fr. par jugement non motivé du 9 novembre 2012, publié par voie édictale. Il n'apparaît pas que le recourant ait bénéficié d'une seconde chance sous la forme d'un nouveau délai de déterminations ou d'une citation à une audience, ni qu'il ait été prévenu qu'en cas d'inaction, le tribunal rendrait une décision par défaut. Quel que soit le point de vue doctrinal auquel on se rattache, ce procédé paraît contrevenir d'une manière ou d'une autre au CPC.</w:t>
      </w:r>
    </w:p>
    <w:p>
      <w:r>
        <w:t>Cela étant, dans les circonstances concrètes, de telles contraventions ne sont pas sources de nullité. D'après l'arrêt attaqué, le recourant a quitté son dernier domicile connu le 31 décembre 2010. Lorsque le Tribunal de première instance lui a imparti un délai de déterminations en octobre 2012, le recourant n'avait déjà pas réagi à de précédentes publications (notification du jugement du 2 novembre 2011, FAO du 4 novembre 2011; fixation d'un délai de réponse à l'appel, FAO du 3 février 2012; notification de l'arrêt sur appel du 27 avril 2012, FAO du 4 mai 2012). Il ne s'est à nouveau manifesté qu'en automne 2013 pour s'opposer à la poursuite n°.... Lui-même ne prétend pas avoir été induit en erreur parce qu'il n'a pas été prévenu des conséquences du défaut, ni avoir été empêché de participer à la procédure parce que le juge a omis de lui offrir une seconde chance (délai de déterminations supplémentaire ou citation à comparaître). Dans ce contexte particulier, il ne saurait être question d'atteinte grave à ses droits essentiels de partie.</w:t>
      </w:r>
    </w:p>
    <w:p>
      <w:r>
        <w:rPr>
          <w:b/>
        </w:rPr>
        <w:t>E. 2.4.3</w:t>
      </w:r>
    </w:p>
    <w:p>
      <w:r>
        <w:t>En bref, on ne discerne aucun motif de nullité qui priverait d'effet le jugement du 9 novembre 2012.</w:t>
      </w:r>
    </w:p>
    <w:p>
      <w:r>
        <w:rPr>
          <w:b/>
        </w:rPr>
        <w:t>E. 2.5</w:t>
      </w:r>
    </w:p>
    <w:p>
      <w:r>
        <w:t>Le recourant insinue que l'autorité de chose jugée ne couvrirait pas les éléments présentés dans sa demande. Il plaide que certaines questions n'ont pas été discutées par le juge des cas clairs et que cet élément justifierait l'ouverture d'une nouvelle procédure.</w:t>
      </w:r>
    </w:p>
    <w:p>
      <w:r>
        <w:t>Comme cela vient d'être rappelé (consid. 2.3.1</w:t>
      </w:r>
    </w:p>
    <w:p>
      <w:r>
        <w:t>supra ), l'autorité de chose jugée entraîne la forclusion des faits qui entrent temporellement dans le complexe de faits soumis au précédent juge, quand bien même ils n'ont pas été invoqués ou retenus dans le premier jugement. Peu importe donc que le juge des cas clairs n'ait pas examiné si le recourant est bien le signataire des reconnaissances de dettes produites dans le premier procès. Ce point est en effet couvert par l'autorité de chose jugée. Il en est de même des faits et moyens de preuve qui, selon le recourant, devraient permettre de prouver qu'il ne doit pas les sommes reconnues dans les documents litigieux. A cet égard, le recourant se contente de renvoyer aux allégations de sa demande et ne prétend pas qu'il invoquerait des éléments postérieurs au premier procès, ce qui suffit à clore toute discussion.</w:t>
      </w:r>
    </w:p>
    <w:p>
      <w:r>
        <w:t>L'autorité précédente a concédé que si le recourant avait pu participer à la procédure et contester la validité des reconnaissances de dettes, le juge aurait vraisemblablement rejeté le cas clair. Cela n'enlève cependant rien au fait que le jugement rendu par défaut à l'issue de la procédure pour les cas clairs est revêtu de l'autorité de chose jugée. La demande de restitution formée par le recourant, qui permet de remédier aux conséquences du défaut, a été rejetée (cf. art. 148 CPC ), et le recourant ne plaide pas qu'il existerait un motif de nullité lié à une violation des conditions pour la procédure des cas clairs ( art. 257 CPC ); un tel motif n'est au demeurant pas perceptible à la lecture de l'arrêt attaqué.</w:t>
      </w:r>
    </w:p>
    <w:p>
      <w:r>
        <w:t>Dans la mesure où le recourant semble arguer du fait que les reconnaissances de dettes sont des faux dans les titres, il pourrait y avoir matière à révision (cf. art. 328 al. 1 let. b CPC ), mais il s'agit d'une autre question.</w:t>
      </w:r>
    </w:p>
    <w:p>
      <w:r>
        <w:rPr>
          <w:b/>
        </w:rPr>
        <w:t>E. 2.6</w:t>
      </w:r>
    </w:p>
    <w:p>
      <w:r>
        <w:t>En définitive, l'autorité précédente n'a pas enfreint l' art. 59 al. 2 let . e CPC en retenant l'exception de chose jugée et en déclarant irrecevables les conclusions en constatation de l'inexistence de la dette de 187'287 fr.</w:t>
      </w:r>
    </w:p>
    <w:p>
      <w:r>
        <w:rPr>
          <w:b/>
        </w:rPr>
        <w:t>E. 3</w:t>
      </w:r>
    </w:p>
    <w:p>
      <w:r>
        <w:t>Le recourant a encore pris des conclusions relevant du droit des poursuites (nullité de la poursuite, subsidiairement annulation; non- communication de la poursuite à des tiers). Leur sort est toutefois lié à la conclusion en constatation de l'inexistence d'une dette, ce qui ressort déjà de leur formulation (concernant l'action en annulation de l' art. 85a LP , cf. en outre arrêt 5A_424/2015 du 27 avril 2016 consid. 4.2). A cela s'ajoute que le recourant s'est abstenu au stade de l'appel déjà d'expliquer en quoi le premier juge aurait dû déclarer ces conclusions recevables et admet lui-même que la poursuite en cause est périmée. Autant que de besoin, on rappellera que la nullité de la poursuite pour abus de droit ne peut être retenue qu'à titre exceptionnel, notamment lorsqu'il est manifeste que le poursuivant agit dans le but de tourmenter le poursuivi (arrêt 5A_218/2015 du 30 novembre 2015 consid. 3; ATF 115 III 18 ). Quant à l'action en annulation de la poursuite fondée sur l' art. 85a LP , elle peut à ce jour être intentée uniquement si le poursuivi a omis de faire opposition ou si celle-ci a été définitivement levée, cas de figure non réalisés en l'occurrence ( ATF 125 III 149 consid. 2c p. 152 s. et arrêt 5A_445/2012 du 2 octobre 2013 consid. 4.1; sur la révision législative, cf. arrêt 4A_226/2016 du 20 octobre 2016 consid. 1). Les considérations qui précèdent privent d'objet la requête en suspension provisoire de la poursuite.</w:t>
      </w:r>
    </w:p>
    <w:p>
      <w:r>
        <w:rPr>
          <w:b/>
        </w:rPr>
        <w:t>E. 4</w:t>
      </w:r>
    </w:p>
    <w:p>
      <w:r>
        <w:t>En définitive, le recours doit être rejeté.</w:t>
      </w:r>
    </w:p>
    <w:p>
      <w:r>
        <w:t>Le recourant a sollicité l'assistance judiciaire. Celle-ci est subordonnée à la double condition que le requérant ne dispose pas de ressources suffisantes et que ses conclusions ne paraissent pas vouées à l'échec ( art. 64 al. 1 LTF ). Selon la jurisprudence, un procès est dénué de chances de succès lorsque les perspectives de le gagner sont notablement plus faibles que les risques de le perdre et qu'elles ne peuvent donc guère être considérées comme sérieuses. Il faut se demander si un justiciable raisonnable disposant des ressources nécessaires engagerait ou non un tel procès; en effet, une partie ne doit pas pouvoir intenter un procès dont elle ne supporte pas le coût alors qu'elle renoncerait à agir si elle devait en assumer les frais ( ATF 139 III 396 consid. 1.2; 129 I 129 consid. 2.3.1). Au regard de ces principes, force est d'admettre que le présent recours paraissait d'emblée dépourvu de chances de succès. L'une des deux conditions cumulatives à l'octroi de l'assistance judiciaire fait ainsi défaut, de sorte que la requête doit être rejetée sans égard à la situation financière du recourant (arrêt 4A_690/2016 du 9 février 2017 consid. 5.2).</w:t>
      </w:r>
    </w:p>
    <w:p>
      <w:r>
        <w:t>Dès lors qu'il succombe, le recourant supportera les frais de la présente procédure ( art. 66 al. 1 LTF ), fixés conformément à l' art. 65 al. 2 LTF .</w:t>
      </w:r>
    </w:p>
    <w:p>
      <w:r>
        <w:t>Il n'est pas alloué de dépens à l'intimé dès lors 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