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4A_224/2013 vom 7. November 2013</w:t>
      </w:r>
    </w:p>
    <w:p>
      <w:r>
        <w:t>Bundesgericht, 2013-11-07, DE</w:t>
      </w:r>
    </w:p>
    <w:p>
      <w:r>
        <w:rPr>
          <w:b/>
        </w:rPr>
        <w:t xml:space="preserve">Quelle: </w:t>
      </w:r>
      <w:r>
        <w:t>https://mcp.opencaselaw.ch/entscheid/bger_4A_224_2013</w:t>
      </w:r>
    </w:p>
    <w:p>
      <w:r>
        <w:t>FR: TF 4A_224/2013 du 7 novembre 2013</w:t>
      </w:r>
    </w:p>
    <w:p>
      <w:r>
        <w:t>IT: TF 4A_224/2013 del 7 novembre 2013</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(Art. 75 Abs. 1 und Abs. 2 lit. a BGG i.V.m. Art. 5 Abs. 1 lit. a ZPO sowie Art. 90 BGG ). Dagegen steht die Beschwerde in Zivilsachen offen.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1.4</w:t>
      </w:r>
    </w:p>
    <w:p>
      <w:r>
        <w:t>Die Beschwerdeführerin beruft sich in ihrer Beschwerdeschrift teilweise auf neue Tatsachen und reicht dem Bundesgericht verschiedene neue Beweismittel ein, ohne dass ersichtlich wäre, dass erst der Entscheid der Vorinstanz dazu Anlass gegeben hätte. Im Weiteren reicht sie dem Bundesgericht mit Eingaben vom 31. Mai und 27. September 2013 verschiedene neue Dokumente ein. Diese haben unbeachtet zu bleiben ( Art. 99 Abs. 1 BGG ).</w:t>
      </w:r>
    </w:p>
    <w:p>
      <w:r>
        <w:rPr>
          <w:b/>
        </w:rPr>
        <w:t>E. 2</w:t>
      </w:r>
    </w:p>
    <w:p>
      <w:r>
        <w:t>Die Beschwerdeführerin bringt vor, die Vorinstanz habe die örtliche Zuständigkeit zur Beurteilung der Klage zu Unrecht verneint und damit Bundesrecht verletzt.</w:t>
      </w:r>
    </w:p>
    <w:p>
      <w:r>
        <w:rPr>
          <w:b/>
        </w:rPr>
        <w:t>E. 2.1</w:t>
      </w:r>
    </w:p>
    <w:p>
      <w:r>
        <w:t>Im internationalen Verhältnis wird die Zuständigkeit der schweizerischen Gerichte durch das Bundesgesetz über das Internationale Privatrecht (IPRG; SR 291) geregelt, wobei völkerrechtliche Verträge vorbehalten sind ( Art. 1 Abs. 1 lit. a und Abs. 2 IPRG ). Zu diesen Verträgen gehört das Lugano-Übereinkommen vom 30. Oktober 2007 (LugÜ; SR 0.275.12). Wie die Vorinstanz zutreffend festhielt, ist das LugÜ auch auf den zu beurteilenden Fall anwendbar, in dem die Beschwerdegegnerin als beklagte Partei Sitz in der Schweiz und die klagende Beschwerdeführerin Sitz in den Vereinigten Staaten hat (vgl. BGE 135 III 185 E. 3.3).</w:t>
      </w:r>
    </w:p>
    <w:p>
      <w:r>
        <w:t>Die Vorinstanz erwog im Weiteren zutreffend, dass Art. 2 Abs. 1 LugÜ lediglich die internationale Zuständigkeit im Wohnsitzstaat der beklagten Partei regelt, während sich die örtliche Zuständigkeit nach dem autonomen Recht des international zuständigen Vertragsstaats (vorliegend nach dem IPRG) richtet. Die besonderen Zuständigkeiten gemäss Art. 5 LugÜ - und damit auch der Gerichtsstand am Ort des schädigenden Ereignisses ( Art. 5 Ziff. 3 LugÜ ) - sind zudem nur gegeben, wenn eine Partei in einem anderen als ihrem Sitz- bzw. Wohnsitzstaat verklagt wird (vgl. BGE 131 III 76 E. 3). Der angefochtene Entscheid geht daher zu Recht davon aus, dass Art. 5 Ziff. 3 LugÜ im vorliegenden Fall nicht anwendbar ist, da die Klage im Sitzstaat der Beschwerdegegnerin erhoben worden ist. Entsprechend hat die Vorinstanz grundsätzlich zutreffend geprüft, ob sie zur Beurteilung der von der Beschwerdeführerin erhobenen Klage, die sich auf eine angebliche Verletzung von Markenrechten stützt, nach Art. 109 Abs. 2 IPRG örtlich zuständig ist.</w:t>
      </w:r>
    </w:p>
    <w:p>
      <w:r>
        <w:rPr>
          <w:b/>
        </w:rPr>
        <w:t>E. 2.2</w:t>
      </w:r>
    </w:p>
    <w:p>
      <w:r>
        <w:t>Nach Art. 109 Abs. 2 IPRG sind für Klagen betreffend Verletzung von Immaterialgüterrechten die schweizerischen Gerichte am Wohnsitz des Beklagten oder, wenn ein solcher fehlt, diejenigen an seinem gewöhnlichen Aufenthaltsort zuständig (Satz 1). Überdies sind die schweizerischen Gerichte am Handlungs- und Erfolgsort sowie für Klagen aufgrund der Tätigkeit einer Niederlassung in der Schweiz die Gerichte am Ort der Niederlassung zuständig (Satz 2).</w:t>
      </w:r>
    </w:p>
    <w:p>
      <w:r>
        <w:t>Als Verletzungsklagen gelten alle vermögensrechtlichen Ansprüche gegen den Verletzer wegen Beeinträchtigung eines Immaterialgüterrechts (vgl. PHILIPPE DUCOR, in: Commentaire romand, 2011, N. 27 zu Art. 109 IPRG ). Dazu zählt auch die eingereichte Klage der Beschwerdeführerin, die sich auf eine behauptete Verletzung ihrer Markenrechte durch die Beschwerdegegnerin stützt. Nachdem Letztere ihren Sitz am 9. August 2011 vom Kanton Schwyz in einen anderen Kanton verlegt hat, fällt eine auf Art. 109 Abs. 2 Satz 1 IPRG gestützte Zuständigkeit des Kantonsgerichts Schwyz für die am 26. September 2011 eingereichte Klage ausser Betracht. Die Vorinstanz beschränkte sich daher zutreffend darauf zu prüfen, ob sich ihre Zuständigkeit auf den Gerichtsstand am Handlungs- oder am Erfolgsort nach Art. 109 Abs. 2 Satz 2 IPRG stützen lässt. Dabei ist sie ohne Bundesrechtsverletzung davon ausgegangen, dass die klägerische Behauptung, die Beschwerdegegnerin habe den Vertrieb der mit Z.________ gekennzeichneten Produkte über ihre frühere Zentrale im Kanton Schwyz abgewickelt bzw. entsprechende Produkte in ihrer Filiale in Pfäffikon SZ verkauft, nur für die Zuständigkeit, nicht jedoch auch für die Begründetheit der Klage erheblich sei (vgl. Urteil 4C.329/2005 vom 5. Mai 2006 E. 2.2, nicht publ. in: BGE 132 III 579 ff.; zur Theorie der doppelrelevanten Tatsachen BGE 137 III 32 E. 2.3 mit Hinweisen). Nachdem die Beschwerdegegnerin den Gebrauch der Marke Z.________ im Kanton Schwyz mit dem Hinweis darauf bestritten hatte, der Gebrauch sei vielmehr an zahlreichen anderen Orten erfolgt, erwog die Vorinstanz folgerichtig, es müsse zur Klärung der Zuständigkeitsfrage darüber Beweis geführt werden, ob die Beschwerdegegnerin die strittigen Produkte im Kanton Schwyz vertrieben bzw. verkauft habe.</w:t>
      </w:r>
    </w:p>
    <w:p>
      <w:r>
        <w:rPr>
          <w:b/>
        </w:rPr>
        <w:t>E. 2.3</w:t>
      </w:r>
    </w:p>
    <w:p>
      <w:r>
        <w:t>Die Vorinstanz hat sich demgegenüber in zeitlicher Hinsicht zu Unrecht unter Hinweis auf Art. 196 Abs. 1 IPRG auf die Prüfung beschränkt, ob ab 1. Juli 2008 (dem Zeitpunkt des Inkrafttretens des revidierten Art. 109 Abs. 2 IPRG ) erfolgte Ereignisse einen Handlungs- oder Erfolgsort im Kanton Schwyz begründen könnten. Entgegen dem angefochtenen Entscheid ist der in Art. 196 Abs. 1 IPRG festgehaltene Grundsatz, wonach sich rechtliche Wirkungen von Sachverhalten oder Rechtsvorgängen, die vor Inkrafttreten des neuen IPRG entstanden und abgeschlossen sind, nach bisherigem Recht beurteilen, auf die vorliegend zu prüfende Zuständigkeitsfrage nicht anwendbar. Die Vorinstanz verkennt, dass die erwähnte Bestimmung, auf die sie sich bezieht, die übergangsrechtliche Frage im Bereich der Zuständigkeit nicht regelt ( BGE 116 II 622 E. 4b S. 624 f.). Die besondere Übergangsbestimmung zur Zuständigkeit nach Art. 197 IPRG setzt voraus, dass für die Beurteilung der Zuständigkeit schweizerischer Gerichte das neue Recht sofort mit dessen Inkrafttreten anwendbar ist ( BGE 118 II 188 E. 2 S. 189; 116 II 209 E. 2b S. 211 f.; Urteil 4C.3/1994 vom 13. Juni 1994 E. 4 mit Hinweisen; vgl. auch ANDREAS BUCHER, in: Commentaire romand, 2011, N. 2 vor Art. 196-199 IPRG ; THOMAS GEISER/MONIQUE JAMETTI GREINER, in: Basler Kommentar, 2. Aufl. 2007, N. 1 und N. 14 zu Art. 197 IPRG ).</w:t>
      </w:r>
    </w:p>
    <w:p>
      <w:r>
        <w:t>Die Vorinstanz hat ihre Prüfung der örtlichen Zuständigkeit nach Art. 109 Abs. 2 Satz 2 IPRG daher zu Unrecht auf Sachverhalte beschränkt, die sich nach dem 30. Juni 2008 ereignet haben (vgl. etwa auch BGE 131 III 153 E. 3 S. 156), und hat damit verschiedene Behauptungen der Beschwerdeführerin in Verletzung von Bundesrecht nicht zum Beweis zugelassen. Der angefochtene Beschluss ist daher bereits aus diesem Grund aufzuheben; die Vorinstanz wird nach Rückweisung der Sache zeitlich unbeschränkt darüber Beweis abzunehmen haben, ob die Beschwerdegegnerin die strittigen Produkte im Kanton Schwyz vertrieben bzw. verkauft hat. Dabei wird sie unter anderem die von der Beschwerdeführerin angebotene Zeugin einzuvernehmen haben, nachdem sie diesen Zeugenbeweis infolge der vermeintlichen zeitlichen Beschränkung des massgebenden Sachverhalts zu Unrecht als unzulässig erachtet hat.</w:t>
      </w:r>
    </w:p>
    <w:p>
      <w:r>
        <w:rPr>
          <w:b/>
        </w:rPr>
        <w:t>E. 2.4</w:t>
      </w:r>
    </w:p>
    <w:p>
      <w:r>
        <w:t>Die Beschwerdeführerin macht ausserdem zu Recht geltend, die Vorinstanz habe ihre Behauptung, wonach sich die Konzernzentrale der Beschwerdegegnerin bis zur Sitzverlegung vom 9. August 2011 im Kanton Schwyz befunden habe, von wo aus der gesamte Vertrieb erfolgt sei, unzutreffend geprüft und damit Bundesrecht verletzt. Obwohl es sich beim angeblichen Vertrieb von der Konzernzentrale aus und dem Verkauf der strittigen Produkte an Endabnehmer in der Filiale in Pfäffikon SZ um Behauptungen verschiedener Vorgänge handelt, die je für sich einen Gerichtsstand am Handlungs- bzw. Erfolgsort begründen können, stellte die Vorinstanz lediglich darauf ab, ob ein Verkauf in Pfäffikon SZ stattgefunden hat. Ob die von der Beschwerdeführerin behaupteten Vertriebshandlungen im Kanton Schwyz vorgenommen wurden, blieb damit ungeprüft; darin ist eine Verletzung von Art. 109 Abs. 2 Satz 2 IPRG zu erblicken.</w:t>
      </w:r>
    </w:p>
    <w:p>
      <w:r>
        <w:t>Der vorinstanzliche Hinweis, das in diesem Zusammenhang als Beweis angebotene Impressum der Website der Beschwerdegegnerin könne nicht gewürdigt werden, weil das in der Eingabe der Beschwerdeführerin aufgeführte Dokument nicht in den Akten liege, ist unter dem Gesichtspunkt von Treu und Glauben ( Art. 52 ZPO ) nicht haltbar, zumal die Vorinstanz die Beschwerdeführerin mit Verfügung vom 16. März 2012 eigens zur Einreichung zweier anderer Dokumente aufforderte, die in derselben Eingabe erwähnt wurden und sich ebenfalls nicht bei den Akten befanden.</w:t>
      </w:r>
    </w:p>
    <w:p>
      <w:r>
        <w:rPr>
          <w:b/>
        </w:rPr>
        <w:t>E. 3</w:t>
      </w:r>
    </w:p>
    <w:p>
      <w:r>
        <w:t>Da die vorinstanzlichen Sachverhaltsfeststellungen die beantragte Feststellung der örtlichen Zuständigkeit durch das Bundesgericht nicht zulassen, ist der angefochtene Beschluss vom 26. Februar 2013 in teilweiser Gutheissung der Beschwerde aufzuheben und die Sache zu neuer Beurteilung an die Vorinstanz zurückzuweisen.</w:t>
      </w:r>
    </w:p>
    <w:p>
      <w:r>
        <w:t>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