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4A_224/2007 vom 31. August 2007</w:t>
      </w:r>
    </w:p>
    <w:p>
      <w:r>
        <w:t>Bundesgericht, 2007-08-31, FR</w:t>
      </w:r>
    </w:p>
    <w:p>
      <w:r>
        <w:rPr>
          <w:b/>
        </w:rPr>
        <w:t xml:space="preserve">Quelle: </w:t>
      </w:r>
      <w:r>
        <w:t>https://mcp.opencaselaw.ch/entscheid/bger_4A_224_2007</w:t>
      </w:r>
    </w:p>
    <w:p>
      <w:r>
        <w:t>FR: TF 4A_224/2007 du 31 août 2007</w:t>
      </w:r>
    </w:p>
    <w:p>
      <w:r>
        <w:t>IT: TF 4A_224/2007 del 31 agosto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La décision qui admet l'exception de prescription et rejette la demande au fond est une décision finale au sens de l' art. 90 LTF (cf. ATF 133 III 37 consid. 1 au sujet de l' art. 48 al. 1 OJ ). En l'espèce, cette décision a été rendue en matière civile ( art. 72 al. 1 LTF ) par une autorité cantonale de dernière instance ( art. 75 al. 1 LTF ) dans une affaire pécuniaire dont la valeur litigieuse atteint le seuil fixé à l' art. 74 al. 1 let. b LTF pour la recevabilité du recours en matière civile. Déposé en temps utile ( art. 100 LTF ) par une partie qui avait qualité pour l'interjeter ( art. 76 al. 1 LTF ), le présent recours, qui respecte la forme prévue par la loi ( art. 42 al. 1 LTF ), est ainsi recevable.</w:t>
      </w:r>
    </w:p>
    <w:p>
      <w:r>
        <w:rPr>
          <w:b/>
        </w:rPr>
        <w:t>E. 2.2</w:t>
      </w:r>
    </w:p>
    <w:p>
      <w:r>
        <w:t>Le recours peut être formé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«manifestement inexacte» correspond à celle d'arbitraire ( art. 9 Cst. ; ATF 132 III 209 consid. 2.1).</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3.1</w:t>
      </w:r>
    </w:p>
    <w:p>
      <w:r>
        <w:t>La prescription des actions en dommages-intérêts et en réparation du tort moral qui découlent d'accidents causés par des véhicules automobiles ou des cycles est réglée par l' art. 83 al. 1 LCR . En vertu de cette disposition, lesdites actions se prescrivent par deux ans à partir du jour où le lésé a eu connaissance du dommage et de la personne qui en est responsable, mais en tout cas par dix ans dès le jour de l'accident. Toutefois, si les dommages-intérêts dérivent d'un acte punissable soumis par les lois pénales à une prescription de plus longue durée, cette prescription de plus longue durée s'applique à l'action civile.</w:t>
      </w:r>
    </w:p>
    <w:p>
      <w:r>
        <w:rPr>
          <w:b/>
        </w:rPr>
        <w:t>E. 3.2</w:t>
      </w:r>
    </w:p>
    <w:p>
      <w:r>
        <w:t>En l'espèce, la cour cantonale a fixé le dies a quo de la prescription biennale au 10 octobre 2001, date à laquelle l'Office AI avait rendu sa décision arrêtant le taux d'invalidité du demandeur A.________. Il s'ensuit que les créances litigieuses ont été éteintes par l'effet de la prescription le 10 octobre 2003. A cette époque, la renonciation de l'intimée à se prévaloir de la prescription, signée le 11 septembre 2001, n'était déjà plus opérante, sa durée de validité ayant été limitée au 31 décembre 2002.</w:t>
      </w:r>
    </w:p>
    <w:p>
      <w:r>
        <w:t>Sans être contredits par les intéressés, les juges précédents démontrent par ailleurs, au considérant 3 de la décision attaquée, que l'application de la prescription de plus longue durée de l'action pénale n'est d'aucun secours aux recourants dans le cas présent.</w:t>
      </w:r>
    </w:p>
    <w:p>
      <w:r>
        <w:t>Il en découle que l'action en paiement, ouverte le 2 décembre 2005, a été introduite après que le délai de prescription avait expiré.</w:t>
      </w:r>
    </w:p>
    <w:p>
      <w:r>
        <w:rPr>
          <w:b/>
        </w:rPr>
        <w:t>E. 4.1</w:t>
      </w:r>
    </w:p>
    <w:p>
      <w:r>
        <w:t>Selon la jurisprudence relative à l' art. 2 al. 2 CC ,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Le comportement du débiteur doit être en relation de causalité avec le retard à agir du créancier ( ATF 131 III 430 consid. 2 p. 437; 128 V 236 consid. 4a p. 241 et les arrêts cités).</w:t>
      </w:r>
    </w:p>
    <w:p>
      <w:r>
        <w:t>En revanche, si, une fois la prescription acquise, le débiteur adopte une attitude propre à dissuader le créancier d'agir, ce dernier ne saurait invoquer l'abus de droit. En effet, le comportement du débiteur ne joue plus de rôle après l'écoulement du délai de prescription ( ATF 113 II 264 consid. 2e).</w:t>
      </w:r>
    </w:p>
    <w:p>
      <w:r>
        <w:rPr>
          <w:b/>
        </w:rPr>
        <w:t>E. 4.2</w:t>
      </w:r>
    </w:p>
    <w:p>
      <w:r>
        <w:t>Sur le vu de cette jurisprudence, les recourants invoquent en pure perte, à l'appui de l'exception d'abus de droit, le contenu des lettres que l'intimée a adressées en 2004 à leur mandataire, étant donné que la prescription de leurs prétentions, intervenue le 10 octobre 2003, était déjà acquise à ce moment-là.</w:t>
      </w:r>
    </w:p>
    <w:p>
      <w:r>
        <w:rPr>
          <w:b/>
        </w:rPr>
        <w:t>E. 5.1</w:t>
      </w:r>
    </w:p>
    <w:p>
      <w:r>
        <w:t>Jurisprudence et doctrine reconnaissent au débiteur la liberté de renoncer à invoquer la prescription déjà acquise ( ATF 132 III 222 consid. 3.3.7 p. 240, 99 II 185 consid. 2b p. 190 et les références; Peter Gauch, Le contrat d'entreprise, n. 2283 s.). Encore faut-il, pour admettre l'existence d'une renonciation à la prescription, que le débiteur ait clairement manifesté, fût-ce de manière tacite, sa volonté de ne pas soulever l'exception de prescription ( ATF 122 III 10 consid. 7; 113 II 264 consid. 2e; Stephen V. Berti, Commentaire zurichois, n. 34 ad art. 142 CO ). Pareille renonciation ne doit pas être admise trop facilement. Il a été jugé que de simples offres transactionnelles formulées par le débiteur ou son assureur n'étaient pas suffisantes à cet égard ( ATF 113 II 264 consid. 2e), non plus que des offres conditionnelles ( ATF 122 III 10 consid. 7 p. 20).</w:t>
      </w:r>
    </w:p>
    <w:p>
      <w:r>
        <w:rPr>
          <w:b/>
        </w:rPr>
        <w:t>E. 5.2</w:t>
      </w:r>
    </w:p>
    <w:p>
      <w:r>
        <w:t>Les recourants soutiennent que l'intimée, par ses lettres des 26 mars et 26 avril 2004, a reconnu de manière inconditionnelle sa dette envers eux et qu'elle a, de ce fait, renoncé à se prévaloir de la prescription acquise.</w:t>
      </w:r>
    </w:p>
    <w:p>
      <w:r>
        <w:t>Il convient d'observer, à titre liminaire, que le jugement attaqué ne mentionne pas la lettre du 26 avril 2004. Les recourants le déplorent certes, mais sans formuler à ce propos un grief qui satisfasse aux exigences en matière de motivation rappelées plus haut (cf. consid. 2.3, 2e §).</w:t>
      </w:r>
    </w:p>
    <w:p>
      <w:r>
        <w:t>Quoi qu'il en soit, dans cette seconde lettre comme dans la première, l'intimée a simplement exprimé le souhait d'entamer des pourparlers en vue de la liquidation d'un dossier relatif à un accident survenu à fin 1990. Elle n'a pas laissé entendre aux recourants qu'elle était prête à leur verser tout ou partie de ce qu'ils lui réclamaient, elle qui avait déjà donné suite à de nombreuses demandes de paiement en faveur de A.________. L'intimée n'a pas davantage laissé entendre au mandataire des recourants qu'elle renoncerait à se prévaloir de la prescription acquise. Preuve en est le fait que, lorsque celui-ci lui a demandé de renoncer à la prescription jusqu'au 31 décembre 2005, elle n'a accepté de le faire, le 5 novembre 2004, que sous la réserve expresse que la prescription ne fût point déjà intervenue. A y regarder de plus près, cette demande des recourants et son acceptation conditionnelle par l'intimée donnent à penser que, au début novembre 2004, les deux parties partaient toujours de l'idée, pourtant erronée, que les prétentions des recourants n'étaient point encore prescrites. Mais alors, si cette hypothèse correspondait à la réalité, on ne voit pas comment l'intimée aurait pu renoncer à se prévaloir de la prescription déjà acquise dans ses lettres - antérieures - des 26 mars et 26 avril 2004.</w:t>
      </w:r>
    </w:p>
    <w:p>
      <w:r>
        <w:t>Est également incompatible avec cette hypothèse l'argument des recourants selon lequel l'intimée avait renoncé à se prévaloir de la prescription jusqu'au 31 décembre 2005 en sachant pertinemment que la prescription était déjà acquise. Il est d'ailleurs difficile d'imaginer quel intérêt l'assureur pouvait avoir à accepter, même de manière conditionnelle, de renoncer à invoquer la prescription pour une année supplémentaire s'il savait qu'elle était intervenue antérieurement.</w:t>
      </w:r>
    </w:p>
    <w:p>
      <w:r>
        <w:t>Dans ces circonstances, les juges neuchâtelois n'ont pas violé le droit fédéral en excluant le caractère abusif de l'exception de prescription soulevée par l'intimée.</w:t>
      </w:r>
    </w:p>
    <w:p>
      <w:r>
        <w:rPr>
          <w:b/>
        </w:rPr>
        <w:t>E. 6</w:t>
      </w:r>
    </w:p>
    <w:p>
      <w:r>
        <w:t>Conformément à l' art. 66 al. 1 et 5 LTF , les frais judiciaires seront mis à la charge des recourants, solidairement entre eux. Il en ira de même en ce qui concerne les dépens auxquels l'intimée peut prétendre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