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223/2012 vom 20. August 2012</w:t>
      </w:r>
    </w:p>
    <w:p>
      <w:r>
        <w:t>Bundesgericht, 2012-08-20, DE</w:t>
      </w:r>
    </w:p>
    <w:p>
      <w:r>
        <w:rPr>
          <w:b/>
        </w:rPr>
        <w:t xml:space="preserve">Quelle: </w:t>
      </w:r>
      <w:r>
        <w:t>https://mcp.opencaselaw.ch/entscheid/bger_4A_223_2012</w:t>
      </w:r>
    </w:p>
    <w:p>
      <w:r>
        <w:t>FR: TF 4A 223/2012 du 20 août 2012</w:t>
      </w:r>
    </w:p>
    <w:p>
      <w:r>
        <w:t>IT: TF 4A 223/2012 del 20 agosto 2012</w:t>
      </w:r>
    </w:p>
    <w:p>
      <w:pPr>
        <w:pStyle w:val="Heading2"/>
      </w:pPr>
      <w:r>
        <w:t>Regeste</w:t>
      </w:r>
    </w:p>
    <w:p>
      <w:r>
        <w:t>Krankentaggeld | Vertragsrecht</w:t>
      </w:r>
    </w:p>
    <w:p>
      <w:pPr>
        <w:pStyle w:val="Heading2"/>
      </w:pPr>
      <w:r>
        <w:t>Erwägungen</w:t>
      </w:r>
    </w:p>
    <w:p>
      <w:r>
        <w:rPr>
          <w:b/>
        </w:rPr>
        <w:t>E. 1</w:t>
      </w:r>
    </w:p>
    <w:p>
      <w:r>
        <w:t>Die Vorinstanz hat die Streitsache als einzige kantonale Instanz nach Art. 7 ZPO entschieden. Damit ist die Beschwerde in Zivilsachen unabhängig vom Streitwert zulässig ( Art. 74 Abs. 2 lit b BGG ). Soweit die Beschwerdeführerin allerdings unter Angabe von Beweismitteln den Sachverhalt schildert, verkennt sie, dass das Bundesgericht die Sachverhaltsfeststellung im angefochtenen Entscheid nur berichtigen und ergänzen kann, wenn sie offensichtlich unrichtig ist oder auf einer Rechtsverletzung im Sinne von Art. 95 BGG beruht ( Art. 105 BGG ), was eine entsprechende, hinreichend begründete Rüge voraussetzt ( Art. 97 Abs. 1, Art. 105 Abs. 2 und Art. 106 Abs. 2 BGG ; BGE 133 II 249 E. 1.4.3 S. 254 f.; 133 III 462 E. 2.4 S. 466 f.).</w:t>
      </w:r>
    </w:p>
    <w:p>
      <w:r>
        <w:rPr>
          <w:b/>
        </w:rPr>
        <w:t>E. 2</w:t>
      </w:r>
    </w:p>
    <w:p>
      <w:r>
        <w:t>Die Vorinstanz ging in Würdigung der Akten, insbesondere eines Gutachtens, davon aus, der Beschwerdegegnerin sei die Ausübung einer angepassten Tätigkeit im Umfang von 80 % seit dem 26. November 2010 zumutbar. Unter Berücksichtigung des bei einer leidensadaptierten Tätigkeit erzielbaren Einkommens verbleibe eine Arbeitsunfähigkeit von 36 % ab dem 26. November 2010. Jedoch sei der Beschwerdegegnerin jedenfalls bis Ende Februar 2011 eine Anpassungsfrist zur Stellensuche und Neuorientierung einzuräumen, weshalb bis zu diesem Zeitpunkt gestützt auf die volle Arbeitsunfähigkeit in der bisherigen Tätigkeit Anspruch auf die vollen Taggeldleistungen bestehe.</w:t>
      </w:r>
    </w:p>
    <w:p>
      <w:r>
        <w:rPr>
          <w:b/>
        </w:rPr>
        <w:t>E. 2.1</w:t>
      </w:r>
    </w:p>
    <w:p>
      <w:r>
        <w:t>Die von der Beschwerdeführerin behauptete 100%ige Arbeitsfähigkeit in einer angepassten Tätigkeit erachtete die Vorinstanz nicht für nachgewiesen. Sie stützte sich dabei auf das Gutachten, welches interdisziplinär eine somatisch/psychiatrisch begründete Einschränkung der Arbeitsfähigkeit von 20 % bescheinigt hatte. Der Einwand der Beschwerdeführerin, eine diagnostizierte anhaltende somatoforme Schmerzstörung als solche begründe nach der Rechtsprechung ( BGE 130 V 352 ) noch keine Invalidität, sei unbehelflich, da konkret einzig die Frage der Arbeitsfähigkeit zur Diskussion stehe. Eine analoge Anwendung der von der Beschwerdeführerin zitierten Rechtsprechung erscheine schon deshalb nicht gerechtfertigt, weil diese auf mehrjährige chronifizierte Krankheitsverläufe und dauerhafte Einschränkungen (Invalidität) zugeschnitten sei und nicht auf solche für einen begrenzten Zeitraum (Arbeitsunfähigkeit) bzw. auf Versicherungsleistungen mit zum vornherein begrenzter Dauer. Die Frage der Überwindbarkeit einer Einschränkung im Sinne dieser Rechtsprechung stehe mithin nicht zur Debatte.</w:t>
      </w:r>
    </w:p>
    <w:p>
      <w:r>
        <w:rPr>
          <w:b/>
        </w:rPr>
        <w:t>E. 2.2</w:t>
      </w:r>
    </w:p>
    <w:p>
      <w:r>
        <w:t>Die Beschwerdeführerin beanstandet, die Vorinstanz übersehe, dass das Bundesgericht in seinem Urteil 4A_5/2011 vom 24. März 2011 E. 4.3.2.1 ausdrücklich festgehalten habe, dass die in BGE 130 V 352 begründete Rechtsprechung zum Einfluss einer somatoformen Schmerzstörung auf die Arbeitsunfähigkeit auch beizuziehen sei, wenn Krankentaggelder nach VVG zu beurteilen seien. Die Krankentaggeldversicherung habe sich im Rahmen der Schadenminderung nicht auf die Arbeitsunfähigkeit, sondern auf die Erwerbsunfähigkeit abzustützen, womit sich eine ungleiche Anwendung der Rechtsprechung nicht rechtfertige. Gemäss dem Gutachten sei die diagnostizierte somatoforme Schmerzstörung überwindbar. Damit stehe fest, dass die Beschwerdegegnerin aus somatischer Sicht in einer leidensangepassten Tätigkeit zu 100 % arbeitsfähig sei. Ebenso stellten soziokulturelle und psychosoziale Einflüsse invaliditätsfremde Gründe dar, die nach Art. 7 Abs. 2 ATSG ausser Acht zu bleiben hätten. Die Beschwerdeführerin ist der Auffassung, die Vorinstanz hätte das Gutachten mit Bezug auf die Überwindbarkeit würdigen und diesen Aspekt bei der Entscheidfindung berücksichtigen müssen.</w:t>
      </w:r>
    </w:p>
    <w:p>
      <w:r>
        <w:rPr>
          <w:b/>
        </w:rPr>
        <w:t>E. 2.3</w:t>
      </w:r>
    </w:p>
    <w:p>
      <w:r>
        <w:t>Die Beschwerdegegnerin macht dagegen geltend, eine pauschale Anwendung der Überwindbarkeitspraxis sei im von der Beschwerdeführerin zitierten Bundesgerichtsurteil 4A_5/2011 nicht postuliert und schon gar nicht begründet worden. Insoweit komme dem Entscheid keine praxisbegründende Bedeutung zu. Demgegenüber habe sich das Bundesgericht in einer publizierten Entscheidung ( BGE 137 V 199 E. 2.2.2.1) ausdrücklich gegen eine analoge Anwendung der Praxis auf kurzfristige Leistungen wie Heilbehandlungen und (UVG)-Taggelder ausgesprochen.</w:t>
      </w:r>
    </w:p>
    <w:p>
      <w:r>
        <w:rPr>
          <w:b/>
        </w:rPr>
        <w:t>E. 2.4</w:t>
      </w:r>
    </w:p>
    <w:p>
      <w:r>
        <w:t>Auf die von den Parteien aufgeworfene Frage braucht nicht eingegangen zu werden. Die Vorinstanz ging davon aus, für die Zeitspanne, für welche Leistungen eingeklagt wurden, bestehe lediglich eine Arbeitsunfähigkeit von 36 %. Sie sprach dennoch die vollen Taggeldleistungen zu, um der Beschwerdegegnerin eine Frist zur Stellensuche und Neuorientierung einzuräumen, jedenfalls bis Ende Februar 2011. Dass der angefochtene Entscheid mit Bezug auf die Anpassungsfrist Bundesrecht verletzt, wird in der Beschwerde nicht rechtsgenüglich dargelegt ( Art. 42 Abs. 2 BGG ), so dass er insoweit nicht zu überprüfen ist ( BGE 135 III 397 E. 1.4 S. 400; 134 III 102 E. 1.1 S. 105). Selbst wenn die Beschwerdegegnerin ihr Leiden überwinden könnte und dies bei der Festsetzung der für die Leistungen massgebenden Arbeits- bzw. Erwerbsfähigkeit zu berücksichtigen wäre, vermöchte dies die Anpassungsfrist zur Stellensuche und Neuorientierung nicht zu verkürzen, zumal die Beschwerdegegnerin diesfalls nicht nur eine angepasste Stelle suchen, sondern zusätzlich noch die Schmerzproblematik überwinden müsste. Die Frage der Überwindbarkeit bleibt mithin ohne Einfluss auf das Dispositiv des angefochtenen Entscheides. Da nur dieses in Rechtskraft erwächst, würde die Beschwerde auf einen blossen Streit über Entscheidungsgründe hinauslaufen, die für sich allein keine Beschwer bedeuten (vgl. BGE 111 II 398 E. 2b S. 400 mit Hinweis). Daran besteht kein Rechtsschutzinteresse ( Art. 76 Abs. 1 lit b BGG ).</w:t>
      </w:r>
    </w:p>
    <w:p>
      <w:r>
        <w:rPr>
          <w:b/>
        </w:rPr>
        <w:t>E. 3</w:t>
      </w:r>
    </w:p>
    <w:p>
      <w:r>
        <w:t>Auf die Beschwerde ist mangels Rechtsschutzinteresses nicht einzutreten. Damit kann offen bleiben, ob der blosse Rückweisungsantrag überhaupt genügt, was nur der Fall wäre, wenn das Bundesgericht die Sache, sollte es der Auffassung der Beschwerdeführerin folgen, nicht selbst entscheiden könnte ( BGE 133 III 489 E. 3.1 mit Hinweisen). Bei diesem Ausgang des Verfahrens wird die Beschwerdeführerin kosten- und entschädigungspflichtig. Da nicht von der Uneinbringlichkeit der Parteientschädigung auszugehen ist,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