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223/2011 vom 12. Juli 2011</w:t>
      </w:r>
    </w:p>
    <w:p>
      <w:r>
        <w:t>Bundesgericht, 2011-07-12, DE</w:t>
      </w:r>
    </w:p>
    <w:p>
      <w:r>
        <w:rPr>
          <w:b/>
        </w:rPr>
        <w:t xml:space="preserve">Quelle: </w:t>
      </w:r>
      <w:r>
        <w:t>https://mcp.opencaselaw.ch/entscheid/bger_4A_223_2011</w:t>
      </w:r>
    </w:p>
    <w:p>
      <w:r>
        <w:t>FR: TF 4A 223/2011 du 12 juillet 2011</w:t>
      </w:r>
    </w:p>
    <w:p>
      <w:r>
        <w:t>IT: TF 4A 223/2011 del 12 luglio 2011</w:t>
      </w:r>
    </w:p>
    <w:p>
      <w:pPr>
        <w:pStyle w:val="Heading2"/>
      </w:pPr>
      <w:r>
        <w:t>Regeste</w:t>
      </w:r>
    </w:p>
    <w:p>
      <w:r>
        <w:t>vorläufige Massnahme | Vertragsrecht</w:t>
      </w:r>
    </w:p>
    <w:p>
      <w:pPr>
        <w:pStyle w:val="Heading2"/>
      </w:pPr>
      <w:r>
        <w:t>Erwägungen</w:t>
      </w:r>
    </w:p>
    <w:p>
      <w:r>
        <w:rPr>
          <w:b/>
        </w:rPr>
        <w:t>E. 1</w:t>
      </w:r>
    </w:p>
    <w:p>
      <w:r>
        <w:t>Angefochten ist ein Entscheid, mit dem die vorläufige Einstellung der Betreibungen gemäss Art. 85a Abs. 2 SchKG abgelehnt wurde. Ein solcher Massnahmeentscheid gilt als Zwischenentscheid im Sinne von Art. 93 BGG . Dagegen ist die Beschwerde nur zulässig, wenn er einen nicht wieder gutzumachenden Nachteil bewirken kann ( Art. 93 Abs. 1 lit. a BGG ). Dabei muss es sich um einen Nachteil rechtlicher Natur handeln, der auch durch einen für den Beschwerdeführer günstigen Entscheid in der Zukunft nicht mehr behoben werden kann ( BGE 134 I 83 E. 3.1 S. 86 mit Hinweisen). Nach der Rechtsprechung wurde bis anhin bei Zwischenentscheiden, mit denen vorsorgliche Massnahmen erlassen bzw. verweigert wurden, ein nicht wieder gutzumachender Nachteil regelmässig bejaht (betreffend vorläufige Einstellung der Betreibung: Urteile 4D_68/2008 vom 28. Juli 2008 E. 1.1; 5P.69/2003 vom 4. April 2003 E. 4.1.1; vgl. auch BODMER/BANGERT, in: Basler Kommentar zum SchKG, 2. Aufl. 2010, N. 28b zu Art. 85a SchKG ). Wie das Bundesgericht erst kürzlich festhielt, fordert es nunmehr, dass der Beschwerdeführer, der einen Massnahmeentscheid beim Bundesgericht anficht, in der Beschwerdebegründung aufzeigt, inwiefern ihm im konkreten Fall ein nicht wieder gutzumachender Nachteil rechtlicher Natur droht (BGE Urteil 4A_178/2011 vom 28. Juni 2011 E. 1.1). Es entspricht denn auch konstanter Rechtsprechung zu Art. 93 Abs. 1 BGG , dass der Beschwerdeführer im Einzelnen darzulegen hat, inwiefern die Beschwerdevoraussetzungen nach dieser Bestimmung erfüllt sind, ansonsten auf die Beschwerde mangels hinreichender Begründung nicht einzutreten ist (vgl. BGE 134 III 426 E. 1.2 S. 429; 133 III 629 E. 2.3.1 und E. 2.4.2 S. 634). Die Beschwerdeführerin äussert sich mit keinem Wort zur Frage der Eintretensvoraussetzungen und namentlich nicht zum Erfordernis des nicht wieder gutzumachenden Nachteils. Es ist daher bereits aus diesem Grund fraglich, ob auf die Beschwerde einzutreten ist.</w:t>
      </w:r>
    </w:p>
    <w:p>
      <w:r>
        <w:rPr>
          <w:b/>
        </w:rPr>
        <w:t>E. 2</w:t>
      </w:r>
    </w:p>
    <w:p>
      <w:r>
        <w:t>Auf die Beschwerde kann indessen aus einem weiteren Grund ohnehin nicht eingetreten werden: Entscheide betreffend vorläufige Einstellung der Betreibung nach Art. 85a Abs. 2 SchKG sind Entscheide über vorsorgliche Massnahmen ( BGE 125 III 440 E. 2c). Bei solchen Entscheiden kann vor Bundesgericht nur die Verletzung verfassungsmässiger Rechte geltend gemacht werden ( Art. 98 BGG ; Urteil 5A_534/2010 vom 28. Oktober 2010 E. 1, nicht publ. in: BGE 136 III 587 ). Die Verletzung dieser Rechte kann das Bundesgericht nur insofern prüfen, als eine solche Rüge in der Beschwerde präzise vorgebracht und begründet worden ist ( Art. 106 Abs. 2 BGG ; BGE 134 I 83 E. 3.2; 134 II 244 E. 2.2; 133 III 439 E. 3.2 S. 444 f.; je mit Hinweisen). Der Beschwerdeführer muss klar und detailliert anhand der Erwägungen des angefochtenen Entscheids darlegen, inwiefern verfassungsmässige Rechte verletzt worden sein sollen ( BGE 135 III 232 E. 1.2; 133 III 589 E. 2 S. 591 f.). Die Beschwerdeführerin macht keine Verletzung verfassungsmässiger Rechte geltend. Sie erhebt damit keine statthaften Beschwerdegründe, weshalb sich ihre Beschwerde als unzulässig erweist. Demnach ist nicht darauf einzutreten.</w:t>
      </w:r>
    </w:p>
    <w:p>
      <w:r>
        <w:rPr>
          <w:b/>
        </w:rPr>
        <w:t>E. 3</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